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74951ddef14a.htm"/>
        <w:bookmarkStart w:id="1" w:name="ksd674951ddef14a"/>
        <w:bookmarkEnd w:id="0"/>
        <w:bookmarkEnd w:id="1"/>
        <w:r>
          <w:rPr>
            <w:rStyle w:val="InternetLink"/>
          </w:rPr>
          <w:t>Table of Contents</w:t>
        </w:r>
      </w:hyperlink>
    </w:p>
    <w:p>
      <w:pPr>
        <w:pStyle w:val="TextBody"/>
        <w:bidi w:val="0"/>
        <w:spacing w:before="0" w:after="0"/>
        <w:jc w:val="center"/>
        <w:rPr>
          <w:rFonts w:ascii="Times New Roman" w:hAnsi="Times New Roman"/>
          <w:b/>
          <w:sz w:val="24"/>
        </w:rPr>
      </w:pPr>
      <w:r>
        <w:rPr>
          <w:rFonts w:ascii="Times New Roman" w:hAnsi="Times New Roman"/>
          <w:b/>
          <w:sz w:val="24"/>
        </w:rPr>
        <w:t xml:space="preserve">UNITED STATES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pBdr>
          <w:bottom w:val="single" w:sz="1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SCHEDULE 14A </w:t>
      </w:r>
    </w:p>
    <w:p>
      <w:pPr>
        <w:pStyle w:val="TextBody"/>
        <w:bidi w:val="0"/>
        <w:spacing w:before="0" w:after="0"/>
        <w:jc w:val="center"/>
        <w:rPr>
          <w:rFonts w:ascii="Times New Roman" w:hAnsi="Times New Roman"/>
          <w:b/>
          <w:sz w:val="20"/>
        </w:rPr>
      </w:pPr>
      <w:r>
        <w:rPr>
          <w:rFonts w:ascii="Times New Roman" w:hAnsi="Times New Roman"/>
          <w:b/>
          <w:sz w:val="20"/>
        </w:rPr>
        <w:t xml:space="preserve">(Rule 14a-101) </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14A INFORMATION </w:t>
      </w:r>
    </w:p>
    <w:p>
      <w:pPr>
        <w:pStyle w:val="TextBody"/>
        <w:bidi w:val="0"/>
        <w:spacing w:before="240" w:after="0"/>
        <w:jc w:val="center"/>
        <w:rPr>
          <w:rFonts w:ascii="Times New Roman" w:hAnsi="Times New Roman"/>
          <w:sz w:val="20"/>
        </w:rPr>
      </w:pPr>
      <w:r>
        <w:rPr>
          <w:rFonts w:ascii="Times New Roman" w:hAnsi="Times New Roman"/>
          <w:sz w:val="20"/>
        </w:rPr>
        <w:t xml:space="preserve">Proxy Statement Pursuant to Section 14(a) of the Securities Exchange Act of 1934 </w:t>
      </w:r>
    </w:p>
    <w:p>
      <w:pPr>
        <w:pStyle w:val="TextBody"/>
        <w:bidi w:val="0"/>
        <w:spacing w:before="0" w:after="0"/>
        <w:jc w:val="center"/>
        <w:rPr>
          <w:rFonts w:ascii="Times New Roman" w:hAnsi="Times New Roman"/>
          <w:sz w:val="20"/>
        </w:rPr>
      </w:pPr>
      <w:r>
        <w:rPr>
          <w:rFonts w:ascii="Times New Roman" w:hAnsi="Times New Roman"/>
          <w:sz w:val="20"/>
        </w:rPr>
        <w:t xml:space="preserve">(Amendment No.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7"/>
        <w:gridCol w:w="120"/>
        <w:gridCol w:w="9748"/>
      </w:tblGrid>
      <w:tr>
        <w:trPr/>
        <w:tc>
          <w:tcPr>
            <w:tcW w:w="33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748" w:type="dxa"/>
            <w:tcBorders/>
            <w:vAlign w:val="center"/>
          </w:tcPr>
          <w:p>
            <w:pPr>
              <w:pStyle w:val="TableContents"/>
              <w:bidi w:val="0"/>
              <w:spacing w:before="0" w:after="283"/>
              <w:jc w:val="left"/>
              <w:rPr>
                <w:sz w:val="4"/>
                <w:szCs w:val="4"/>
              </w:rPr>
            </w:pPr>
            <w:r>
              <w:rPr>
                <w:sz w:val="4"/>
                <w:szCs w:val="4"/>
              </w:rPr>
            </w:r>
          </w:p>
        </w:tc>
      </w:tr>
      <w:tr>
        <w:trPr/>
        <w:tc>
          <w:tcPr>
            <w:tcW w:w="337"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748" w:type="dxa"/>
            <w:tcBorders/>
            <w:vAlign w:val="bottom"/>
          </w:tcPr>
          <w:p>
            <w:pPr>
              <w:pStyle w:val="TableContents"/>
              <w:bidi w:val="0"/>
              <w:spacing w:before="0" w:after="283"/>
              <w:jc w:val="left"/>
              <w:rPr/>
            </w:pPr>
            <w:r>
              <w:rPr/>
              <w:t>Filed by the Registrant</w:t>
            </w:r>
          </w:p>
        </w:tc>
      </w:tr>
      <w:tr>
        <w:trPr>
          <w:trHeight w:val="60" w:hRule="atLeast"/>
        </w:trPr>
        <w:tc>
          <w:tcPr>
            <w:tcW w:w="337" w:type="dxa"/>
            <w:tcBorders/>
            <w:vAlign w:val="center"/>
          </w:tcPr>
          <w:p>
            <w:pPr>
              <w:pStyle w:val="TableContents"/>
              <w:bidi w:val="0"/>
              <w:spacing w:before="0" w:after="283"/>
              <w:jc w:val="left"/>
              <w:rPr>
                <w:sz w:val="4"/>
                <w:szCs w:val="4"/>
              </w:rPr>
            </w:pPr>
            <w:r>
              <w:rPr>
                <w:sz w:val="4"/>
                <w:szCs w:val="4"/>
              </w:rPr>
            </w:r>
          </w:p>
        </w:tc>
        <w:tc>
          <w:tcPr>
            <w:tcW w:w="9868" w:type="dxa"/>
            <w:gridSpan w:val="2"/>
            <w:tcBorders/>
            <w:vAlign w:val="center"/>
          </w:tcPr>
          <w:p>
            <w:pPr>
              <w:pStyle w:val="TableContents"/>
              <w:bidi w:val="0"/>
              <w:spacing w:before="0" w:after="283"/>
              <w:jc w:val="left"/>
              <w:rPr>
                <w:sz w:val="4"/>
                <w:szCs w:val="4"/>
              </w:rPr>
            </w:pPr>
            <w:r>
              <w:rPr>
                <w:sz w:val="4"/>
                <w:szCs w:val="4"/>
              </w:rPr>
            </w:r>
          </w:p>
        </w:tc>
      </w:tr>
      <w:tr>
        <w:trPr/>
        <w:tc>
          <w:tcPr>
            <w:tcW w:w="337"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748" w:type="dxa"/>
            <w:tcBorders/>
            <w:vAlign w:val="bottom"/>
          </w:tcPr>
          <w:p>
            <w:pPr>
              <w:pStyle w:val="TableContents"/>
              <w:bidi w:val="0"/>
              <w:spacing w:before="0" w:after="283"/>
              <w:jc w:val="left"/>
              <w:rPr/>
            </w:pPr>
            <w:r>
              <w:rPr/>
              <w:t>Filed by a Party other than the Registrant</w:t>
            </w:r>
          </w:p>
        </w:tc>
      </w:tr>
    </w:tbl>
    <w:p>
      <w:pPr>
        <w:pStyle w:val="TextBody"/>
        <w:bidi w:val="0"/>
        <w:spacing w:before="240" w:after="0"/>
        <w:jc w:val="left"/>
        <w:rPr>
          <w:rFonts w:ascii="Times New Roman" w:hAnsi="Times New Roman"/>
          <w:sz w:val="19"/>
        </w:rPr>
      </w:pPr>
      <w:r>
        <w:rPr>
          <w:rFonts w:ascii="Times New Roman" w:hAnsi="Times New Roman"/>
          <w:sz w:val="19"/>
        </w:rPr>
        <w:t xml:space="preserve">Check the appropriate box: </w:t>
      </w:r>
    </w:p>
    <w:tbl>
      <w:tblPr>
        <w:tblW w:w="5000" w:type="pct"/>
        <w:jc w:val="center"/>
        <w:tblInd w:w="0" w:type="dxa"/>
        <w:tblLayout w:type="fixed"/>
        <w:tblCellMar>
          <w:top w:w="0" w:type="dxa"/>
          <w:left w:w="0" w:type="dxa"/>
          <w:bottom w:w="0" w:type="dxa"/>
          <w:right w:w="0" w:type="dxa"/>
        </w:tblCellMar>
      </w:tblPr>
      <w:tblGrid>
        <w:gridCol w:w="340"/>
        <w:gridCol w:w="122"/>
        <w:gridCol w:w="9743"/>
      </w:tblGrid>
      <w:tr>
        <w:trPr/>
        <w:tc>
          <w:tcPr>
            <w:tcW w:w="34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743" w:type="dxa"/>
            <w:tcBorders/>
            <w:vAlign w:val="center"/>
          </w:tcPr>
          <w:p>
            <w:pPr>
              <w:pStyle w:val="TableContents"/>
              <w:bidi w:val="0"/>
              <w:spacing w:before="0" w:after="283"/>
              <w:jc w:val="left"/>
              <w:rPr>
                <w:sz w:val="4"/>
                <w:szCs w:val="4"/>
              </w:rPr>
            </w:pPr>
            <w:r>
              <w:rPr>
                <w:sz w:val="4"/>
                <w:szCs w:val="4"/>
              </w:rPr>
            </w:r>
          </w:p>
        </w:tc>
      </w:tr>
      <w:tr>
        <w:trPr/>
        <w:tc>
          <w:tcPr>
            <w:tcW w:w="340" w:type="dxa"/>
            <w:tcBorders/>
            <w:vAlign w:val="bottom"/>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743" w:type="dxa"/>
            <w:tcBorders/>
            <w:vAlign w:val="bottom"/>
          </w:tcPr>
          <w:p>
            <w:pPr>
              <w:pStyle w:val="TableContents"/>
              <w:bidi w:val="0"/>
              <w:spacing w:before="0" w:after="283"/>
              <w:jc w:val="left"/>
              <w:rPr/>
            </w:pPr>
            <w:r>
              <w:rPr/>
              <w:t>Preliminary Proxy Statement</w:t>
            </w:r>
          </w:p>
        </w:tc>
      </w:tr>
      <w:tr>
        <w:trPr>
          <w:trHeight w:val="60" w:hRule="atLeast"/>
        </w:trPr>
        <w:tc>
          <w:tcPr>
            <w:tcW w:w="340" w:type="dxa"/>
            <w:tcBorders/>
            <w:vAlign w:val="center"/>
          </w:tcPr>
          <w:p>
            <w:pPr>
              <w:pStyle w:val="TableContents"/>
              <w:bidi w:val="0"/>
              <w:spacing w:before="0" w:after="283"/>
              <w:jc w:val="left"/>
              <w:rPr>
                <w:sz w:val="4"/>
                <w:szCs w:val="4"/>
              </w:rPr>
            </w:pPr>
            <w:r>
              <w:rPr>
                <w:sz w:val="4"/>
                <w:szCs w:val="4"/>
              </w:rPr>
            </w:r>
          </w:p>
        </w:tc>
        <w:tc>
          <w:tcPr>
            <w:tcW w:w="9865" w:type="dxa"/>
            <w:gridSpan w:val="2"/>
            <w:tcBorders/>
            <w:vAlign w:val="center"/>
          </w:tcPr>
          <w:p>
            <w:pPr>
              <w:pStyle w:val="TableContents"/>
              <w:bidi w:val="0"/>
              <w:spacing w:before="0" w:after="283"/>
              <w:jc w:val="left"/>
              <w:rPr>
                <w:sz w:val="4"/>
                <w:szCs w:val="4"/>
              </w:rPr>
            </w:pPr>
            <w:r>
              <w:rPr>
                <w:sz w:val="4"/>
                <w:szCs w:val="4"/>
              </w:rPr>
            </w:r>
          </w:p>
        </w:tc>
      </w:tr>
      <w:tr>
        <w:trPr/>
        <w:tc>
          <w:tcPr>
            <w:tcW w:w="340" w:type="dxa"/>
            <w:tcBorders/>
            <w:vAlign w:val="bottom"/>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743" w:type="dxa"/>
            <w:tcBorders/>
            <w:vAlign w:val="bottom"/>
          </w:tcPr>
          <w:p>
            <w:pPr>
              <w:pStyle w:val="TableContents"/>
              <w:bidi w:val="0"/>
              <w:spacing w:before="0" w:after="283"/>
              <w:jc w:val="left"/>
              <w:rPr/>
            </w:pPr>
            <w:r>
              <w:rPr/>
              <w:t>Confidential, for Use of the Commission Only (as permitted by Rule 14a-6(e)(2))</w:t>
            </w:r>
          </w:p>
        </w:tc>
      </w:tr>
      <w:tr>
        <w:trPr>
          <w:trHeight w:val="60" w:hRule="atLeast"/>
        </w:trPr>
        <w:tc>
          <w:tcPr>
            <w:tcW w:w="340" w:type="dxa"/>
            <w:tcBorders/>
            <w:vAlign w:val="center"/>
          </w:tcPr>
          <w:p>
            <w:pPr>
              <w:pStyle w:val="TableContents"/>
              <w:bidi w:val="0"/>
              <w:spacing w:before="0" w:after="283"/>
              <w:jc w:val="left"/>
              <w:rPr>
                <w:sz w:val="4"/>
                <w:szCs w:val="4"/>
              </w:rPr>
            </w:pPr>
            <w:r>
              <w:rPr>
                <w:sz w:val="4"/>
                <w:szCs w:val="4"/>
              </w:rPr>
            </w:r>
          </w:p>
        </w:tc>
        <w:tc>
          <w:tcPr>
            <w:tcW w:w="9865" w:type="dxa"/>
            <w:gridSpan w:val="2"/>
            <w:tcBorders/>
            <w:vAlign w:val="center"/>
          </w:tcPr>
          <w:p>
            <w:pPr>
              <w:pStyle w:val="TableContents"/>
              <w:bidi w:val="0"/>
              <w:spacing w:before="0" w:after="283"/>
              <w:jc w:val="left"/>
              <w:rPr>
                <w:sz w:val="4"/>
                <w:szCs w:val="4"/>
              </w:rPr>
            </w:pPr>
            <w:r>
              <w:rPr>
                <w:sz w:val="4"/>
                <w:szCs w:val="4"/>
              </w:rPr>
            </w:r>
          </w:p>
        </w:tc>
      </w:tr>
      <w:tr>
        <w:trPr/>
        <w:tc>
          <w:tcPr>
            <w:tcW w:w="340" w:type="dxa"/>
            <w:tcBorders/>
            <w:vAlign w:val="bottom"/>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743" w:type="dxa"/>
            <w:tcBorders/>
            <w:vAlign w:val="bottom"/>
          </w:tcPr>
          <w:p>
            <w:pPr>
              <w:pStyle w:val="TableContents"/>
              <w:bidi w:val="0"/>
              <w:spacing w:before="0" w:after="283"/>
              <w:jc w:val="left"/>
              <w:rPr/>
            </w:pPr>
            <w:r>
              <w:rPr/>
              <w:t>Definitive Proxy Statement</w:t>
            </w:r>
          </w:p>
        </w:tc>
      </w:tr>
      <w:tr>
        <w:trPr>
          <w:trHeight w:val="60" w:hRule="atLeast"/>
        </w:trPr>
        <w:tc>
          <w:tcPr>
            <w:tcW w:w="340" w:type="dxa"/>
            <w:tcBorders/>
            <w:vAlign w:val="center"/>
          </w:tcPr>
          <w:p>
            <w:pPr>
              <w:pStyle w:val="TableContents"/>
              <w:bidi w:val="0"/>
              <w:spacing w:before="0" w:after="283"/>
              <w:jc w:val="left"/>
              <w:rPr>
                <w:sz w:val="4"/>
                <w:szCs w:val="4"/>
              </w:rPr>
            </w:pPr>
            <w:r>
              <w:rPr>
                <w:sz w:val="4"/>
                <w:szCs w:val="4"/>
              </w:rPr>
            </w:r>
          </w:p>
        </w:tc>
        <w:tc>
          <w:tcPr>
            <w:tcW w:w="9865" w:type="dxa"/>
            <w:gridSpan w:val="2"/>
            <w:tcBorders/>
            <w:vAlign w:val="center"/>
          </w:tcPr>
          <w:p>
            <w:pPr>
              <w:pStyle w:val="TableContents"/>
              <w:bidi w:val="0"/>
              <w:spacing w:before="0" w:after="283"/>
              <w:jc w:val="left"/>
              <w:rPr>
                <w:sz w:val="4"/>
                <w:szCs w:val="4"/>
              </w:rPr>
            </w:pPr>
            <w:r>
              <w:rPr>
                <w:sz w:val="4"/>
                <w:szCs w:val="4"/>
              </w:rPr>
            </w:r>
          </w:p>
        </w:tc>
      </w:tr>
      <w:tr>
        <w:trPr/>
        <w:tc>
          <w:tcPr>
            <w:tcW w:w="340" w:type="dxa"/>
            <w:tcBorders/>
            <w:vAlign w:val="bottom"/>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743" w:type="dxa"/>
            <w:tcBorders/>
            <w:vAlign w:val="bottom"/>
          </w:tcPr>
          <w:p>
            <w:pPr>
              <w:pStyle w:val="TableContents"/>
              <w:bidi w:val="0"/>
              <w:spacing w:before="0" w:after="283"/>
              <w:jc w:val="left"/>
              <w:rPr/>
            </w:pPr>
            <w:r>
              <w:rPr/>
              <w:t>Definitive Additional Materials</w:t>
            </w:r>
          </w:p>
        </w:tc>
      </w:tr>
      <w:tr>
        <w:trPr>
          <w:trHeight w:val="60" w:hRule="atLeast"/>
        </w:trPr>
        <w:tc>
          <w:tcPr>
            <w:tcW w:w="340" w:type="dxa"/>
            <w:tcBorders/>
            <w:vAlign w:val="center"/>
          </w:tcPr>
          <w:p>
            <w:pPr>
              <w:pStyle w:val="TableContents"/>
              <w:bidi w:val="0"/>
              <w:spacing w:before="0" w:after="283"/>
              <w:jc w:val="left"/>
              <w:rPr>
                <w:sz w:val="4"/>
                <w:szCs w:val="4"/>
              </w:rPr>
            </w:pPr>
            <w:r>
              <w:rPr>
                <w:sz w:val="4"/>
                <w:szCs w:val="4"/>
              </w:rPr>
            </w:r>
          </w:p>
        </w:tc>
        <w:tc>
          <w:tcPr>
            <w:tcW w:w="9865" w:type="dxa"/>
            <w:gridSpan w:val="2"/>
            <w:tcBorders/>
            <w:vAlign w:val="center"/>
          </w:tcPr>
          <w:p>
            <w:pPr>
              <w:pStyle w:val="TableContents"/>
              <w:bidi w:val="0"/>
              <w:spacing w:before="0" w:after="283"/>
              <w:jc w:val="left"/>
              <w:rPr>
                <w:sz w:val="4"/>
                <w:szCs w:val="4"/>
              </w:rPr>
            </w:pPr>
            <w:r>
              <w:rPr>
                <w:sz w:val="4"/>
                <w:szCs w:val="4"/>
              </w:rPr>
            </w:r>
          </w:p>
        </w:tc>
      </w:tr>
      <w:tr>
        <w:trPr/>
        <w:tc>
          <w:tcPr>
            <w:tcW w:w="340" w:type="dxa"/>
            <w:tcBorders/>
            <w:vAlign w:val="bottom"/>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743" w:type="dxa"/>
            <w:tcBorders/>
            <w:vAlign w:val="bottom"/>
          </w:tcPr>
          <w:p>
            <w:pPr>
              <w:pStyle w:val="TableContents"/>
              <w:bidi w:val="0"/>
              <w:spacing w:before="0" w:after="283"/>
              <w:jc w:val="left"/>
              <w:rPr/>
            </w:pPr>
            <w:r>
              <w:rPr/>
              <w:t>Soliciting Material under § 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Biodesix, Inc.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sz w:val="18"/>
        </w:rPr>
      </w:pPr>
      <w:r>
        <w:rPr>
          <w:rFonts w:ascii="Times New Roman" w:hAnsi="Times New Roman"/>
          <w:sz w:val="18"/>
        </w:rPr>
        <w:t xml:space="preserve">(Name of Registrant as Specified in its Charter)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sz w:val="18"/>
        </w:rPr>
      </w:pPr>
      <w:r>
        <w:rPr>
          <w:rFonts w:ascii="Times New Roman" w:hAnsi="Times New Roman"/>
          <w:sz w:val="18"/>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3"/>
        <w:gridCol w:w="121"/>
        <w:gridCol w:w="3230"/>
        <w:gridCol w:w="3230"/>
        <w:gridCol w:w="3391"/>
      </w:tblGrid>
      <w:tr>
        <w:trPr/>
        <w:tc>
          <w:tcPr>
            <w:tcW w:w="23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c>
          <w:tcPr>
            <w:tcW w:w="3230" w:type="dxa"/>
            <w:tcBorders/>
            <w:vAlign w:val="bottom"/>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233"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9851" w:type="dxa"/>
            <w:gridSpan w:val="3"/>
            <w:tcBorders/>
            <w:vAlign w:val="bottom"/>
          </w:tcPr>
          <w:p>
            <w:pPr>
              <w:pStyle w:val="TableContents"/>
              <w:bidi w:val="0"/>
              <w:spacing w:before="0" w:after="283"/>
              <w:jc w:val="left"/>
              <w:rPr/>
            </w:pPr>
            <w:r>
              <w:rPr/>
              <w:t>No fee required.</w:t>
            </w:r>
          </w:p>
        </w:tc>
      </w:tr>
      <w:tr>
        <w:trPr>
          <w:trHeight w:val="120" w:hRule="atLeast"/>
        </w:trPr>
        <w:tc>
          <w:tcPr>
            <w:tcW w:w="233" w:type="dxa"/>
            <w:tcBorders/>
            <w:vAlign w:val="center"/>
          </w:tcPr>
          <w:p>
            <w:pPr>
              <w:pStyle w:val="TableContents"/>
              <w:bidi w:val="0"/>
              <w:spacing w:before="0" w:after="283"/>
              <w:jc w:val="left"/>
              <w:rPr>
                <w:sz w:val="4"/>
                <w:szCs w:val="4"/>
              </w:rPr>
            </w:pPr>
            <w:r>
              <w:rPr>
                <w:sz w:val="4"/>
                <w:szCs w:val="4"/>
              </w:rPr>
            </w:r>
          </w:p>
        </w:tc>
        <w:tc>
          <w:tcPr>
            <w:tcW w:w="9972" w:type="dxa"/>
            <w:gridSpan w:val="4"/>
            <w:tcBorders/>
            <w:vAlign w:val="center"/>
          </w:tcPr>
          <w:p>
            <w:pPr>
              <w:pStyle w:val="TableContents"/>
              <w:bidi w:val="0"/>
              <w:spacing w:before="0" w:after="283"/>
              <w:jc w:val="left"/>
              <w:rPr>
                <w:sz w:val="4"/>
                <w:szCs w:val="4"/>
              </w:rPr>
            </w:pPr>
            <w:r>
              <w:rPr>
                <w:sz w:val="4"/>
                <w:szCs w:val="4"/>
              </w:rPr>
            </w:r>
          </w:p>
        </w:tc>
      </w:tr>
      <w:tr>
        <w:trPr/>
        <w:tc>
          <w:tcPr>
            <w:tcW w:w="233"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9851" w:type="dxa"/>
            <w:gridSpan w:val="3"/>
            <w:tcBorders/>
            <w:vAlign w:val="bottom"/>
          </w:tcPr>
          <w:p>
            <w:pPr>
              <w:pStyle w:val="TableContents"/>
              <w:bidi w:val="0"/>
              <w:spacing w:before="0" w:after="283"/>
              <w:jc w:val="left"/>
              <w:rPr/>
            </w:pPr>
            <w:r>
              <w:rPr/>
              <w:t>Fee paid previously with preliminary materials.</w:t>
            </w:r>
          </w:p>
        </w:tc>
      </w:tr>
      <w:tr>
        <w:trPr>
          <w:trHeight w:val="150" w:hRule="atLeast"/>
        </w:trPr>
        <w:tc>
          <w:tcPr>
            <w:tcW w:w="233" w:type="dxa"/>
            <w:tcBorders/>
            <w:vAlign w:val="center"/>
          </w:tcPr>
          <w:p>
            <w:pPr>
              <w:pStyle w:val="TableContents"/>
              <w:bidi w:val="0"/>
              <w:spacing w:before="0" w:after="283"/>
              <w:jc w:val="left"/>
              <w:rPr>
                <w:sz w:val="4"/>
                <w:szCs w:val="4"/>
              </w:rPr>
            </w:pPr>
            <w:r>
              <w:rPr>
                <w:sz w:val="4"/>
                <w:szCs w:val="4"/>
              </w:rPr>
            </w:r>
          </w:p>
        </w:tc>
        <w:tc>
          <w:tcPr>
            <w:tcW w:w="9972" w:type="dxa"/>
            <w:gridSpan w:val="4"/>
            <w:tcBorders/>
            <w:vAlign w:val="center"/>
          </w:tcPr>
          <w:p>
            <w:pPr>
              <w:pStyle w:val="TableContents"/>
              <w:bidi w:val="0"/>
              <w:spacing w:before="0" w:after="283"/>
              <w:jc w:val="left"/>
              <w:rPr>
                <w:sz w:val="4"/>
                <w:szCs w:val="4"/>
              </w:rPr>
            </w:pPr>
            <w:r>
              <w:rPr>
                <w:sz w:val="4"/>
                <w:szCs w:val="4"/>
              </w:rPr>
            </w:r>
          </w:p>
        </w:tc>
      </w:tr>
      <w:tr>
        <w:trPr/>
        <w:tc>
          <w:tcPr>
            <w:tcW w:w="233"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9851" w:type="dxa"/>
            <w:gridSpan w:val="3"/>
            <w:tcBorders/>
            <w:vAlign w:val="bottom"/>
          </w:tcPr>
          <w:p>
            <w:pPr>
              <w:pStyle w:val="TableContents"/>
              <w:bidi w:val="0"/>
              <w:spacing w:before="0" w:after="283"/>
              <w:jc w:val="left"/>
              <w:rPr/>
            </w:pPr>
            <w:r>
              <w:rPr/>
              <w:t>Fee computed on table in exhibit required by Item 25(b) per Exchange Act Rules 14a-6(i)(1) and 0-11.</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31140" cy="393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1140" cy="393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Biodesix, Inc. </w:t>
      </w:r>
    </w:p>
    <w:p>
      <w:pPr>
        <w:pStyle w:val="TextBody"/>
        <w:bidi w:val="0"/>
        <w:spacing w:before="0" w:after="0"/>
        <w:jc w:val="center"/>
        <w:rPr>
          <w:rFonts w:ascii="Times New Roman" w:hAnsi="Times New Roman"/>
          <w:sz w:val="20"/>
        </w:rPr>
      </w:pPr>
      <w:r>
        <w:rPr>
          <w:rFonts w:ascii="Times New Roman" w:hAnsi="Times New Roman"/>
          <w:sz w:val="20"/>
        </w:rPr>
        <w:t xml:space="preserve">919 West Dillon Rd., </w:t>
      </w:r>
    </w:p>
    <w:p>
      <w:pPr>
        <w:pStyle w:val="TextBody"/>
        <w:bidi w:val="0"/>
        <w:spacing w:before="0" w:after="0"/>
        <w:jc w:val="center"/>
        <w:rPr>
          <w:rFonts w:ascii="Times New Roman" w:hAnsi="Times New Roman"/>
          <w:sz w:val="20"/>
        </w:rPr>
      </w:pPr>
      <w:r>
        <w:rPr>
          <w:rFonts w:ascii="Times New Roman" w:hAnsi="Times New Roman"/>
          <w:sz w:val="20"/>
        </w:rPr>
        <w:t xml:space="preserve">Louisville, CO 80027 </w:t>
      </w:r>
    </w:p>
    <w:p>
      <w:pPr>
        <w:pStyle w:val="TextBody"/>
        <w:bidi w:val="0"/>
        <w:spacing w:before="240" w:after="0"/>
        <w:jc w:val="center"/>
        <w:rPr>
          <w:rFonts w:ascii="Times New Roman" w:hAnsi="Times New Roman"/>
          <w:b/>
          <w:color w:val="305494"/>
          <w:sz w:val="28"/>
        </w:rPr>
      </w:pPr>
      <w:r>
        <w:rPr>
          <w:rFonts w:ascii="Times New Roman" w:hAnsi="Times New Roman"/>
          <w:b/>
          <w:color w:val="305494"/>
          <w:sz w:val="28"/>
        </w:rPr>
        <w:t xml:space="preserve">Notice of 2024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Dear Biodesix Stockholders: </w:t>
      </w:r>
    </w:p>
    <w:p>
      <w:pPr>
        <w:pStyle w:val="TextBody"/>
        <w:bidi w:val="0"/>
        <w:spacing w:before="240" w:after="0"/>
        <w:jc w:val="left"/>
        <w:rPr>
          <w:rFonts w:ascii="Times New Roman" w:hAnsi="Times New Roman"/>
          <w:sz w:val="20"/>
        </w:rPr>
      </w:pPr>
      <w:r>
        <w:rPr>
          <w:rFonts w:ascii="Times New Roman" w:hAnsi="Times New Roman"/>
          <w:sz w:val="20"/>
        </w:rPr>
        <w:t xml:space="preserve">You are invited to attend Biodesix, Inc.s 2024 Annual Meeting of Stockholders (the Annual Meeting).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28"/>
        <w:gridCol w:w="203"/>
        <w:gridCol w:w="8574"/>
      </w:tblGrid>
      <w:tr>
        <w:trPr/>
        <w:tc>
          <w:tcPr>
            <w:tcW w:w="142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574" w:type="dxa"/>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b/>
                <w:color w:val="305494"/>
                <w:sz w:val="20"/>
              </w:rPr>
            </w:pPr>
            <w:r>
              <w:rPr>
                <w:rFonts w:ascii="Times New Roman" w:hAnsi="Times New Roman"/>
                <w:b/>
                <w:color w:val="305494"/>
                <w:sz w:val="20"/>
              </w:rPr>
              <w:t>Date:</w:t>
            </w:r>
          </w:p>
        </w:tc>
        <w:tc>
          <w:tcPr>
            <w:tcW w:w="203" w:type="dxa"/>
            <w:tcBorders/>
            <w:vAlign w:val="bottom"/>
          </w:tcPr>
          <w:p>
            <w:pPr>
              <w:pStyle w:val="TableContents"/>
              <w:bidi w:val="0"/>
              <w:spacing w:before="0" w:after="283"/>
              <w:jc w:val="left"/>
              <w:rPr/>
            </w:pPr>
            <w:r>
              <w:rPr/>
              <w:t>  </w:t>
            </w:r>
          </w:p>
        </w:tc>
        <w:tc>
          <w:tcPr>
            <w:tcW w:w="8574" w:type="dxa"/>
            <w:tcBorders/>
            <w:vAlign w:val="bottom"/>
          </w:tcPr>
          <w:p>
            <w:pPr>
              <w:pStyle w:val="TableContents"/>
              <w:bidi w:val="0"/>
              <w:spacing w:before="0" w:after="283"/>
              <w:jc w:val="left"/>
              <w:rPr/>
            </w:pPr>
            <w:r>
              <w:rPr/>
              <w:t>May 21, 2024 (Tuesday)</w:t>
            </w:r>
          </w:p>
        </w:tc>
      </w:tr>
      <w:tr>
        <w:trPr>
          <w:trHeight w:val="195" w:hRule="atLeast"/>
        </w:trPr>
        <w:tc>
          <w:tcPr>
            <w:tcW w:w="1428" w:type="dxa"/>
            <w:tcBorders/>
            <w:vAlign w:val="center"/>
          </w:tcPr>
          <w:p>
            <w:pPr>
              <w:pStyle w:val="TableContents"/>
              <w:bidi w:val="0"/>
              <w:spacing w:before="0" w:after="283"/>
              <w:jc w:val="left"/>
              <w:rPr>
                <w:sz w:val="4"/>
                <w:szCs w:val="4"/>
              </w:rPr>
            </w:pPr>
            <w:r>
              <w:rPr>
                <w:sz w:val="4"/>
                <w:szCs w:val="4"/>
              </w:rPr>
            </w:r>
          </w:p>
        </w:tc>
        <w:tc>
          <w:tcPr>
            <w:tcW w:w="8777"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b/>
                <w:color w:val="305494"/>
                <w:sz w:val="20"/>
              </w:rPr>
            </w:pPr>
            <w:r>
              <w:rPr>
                <w:rFonts w:ascii="Times New Roman" w:hAnsi="Times New Roman"/>
                <w:b/>
                <w:color w:val="305494"/>
                <w:sz w:val="20"/>
              </w:rPr>
              <w:t>Time:</w:t>
            </w:r>
          </w:p>
        </w:tc>
        <w:tc>
          <w:tcPr>
            <w:tcW w:w="203" w:type="dxa"/>
            <w:tcBorders/>
            <w:vAlign w:val="bottom"/>
          </w:tcPr>
          <w:p>
            <w:pPr>
              <w:pStyle w:val="TableContents"/>
              <w:bidi w:val="0"/>
              <w:spacing w:before="0" w:after="283"/>
              <w:jc w:val="left"/>
              <w:rPr/>
            </w:pPr>
            <w:r>
              <w:rPr/>
              <w:t>  </w:t>
            </w:r>
          </w:p>
        </w:tc>
        <w:tc>
          <w:tcPr>
            <w:tcW w:w="8574" w:type="dxa"/>
            <w:tcBorders/>
            <w:vAlign w:val="bottom"/>
          </w:tcPr>
          <w:p>
            <w:pPr>
              <w:pStyle w:val="TableContents"/>
              <w:bidi w:val="0"/>
              <w:spacing w:before="0" w:after="283"/>
              <w:jc w:val="left"/>
              <w:rPr/>
            </w:pPr>
            <w:r>
              <w:rPr/>
              <w:t>1:00 p.m., Mountain Time</w:t>
            </w:r>
          </w:p>
        </w:tc>
      </w:tr>
      <w:tr>
        <w:trPr>
          <w:trHeight w:val="195" w:hRule="atLeast"/>
        </w:trPr>
        <w:tc>
          <w:tcPr>
            <w:tcW w:w="1428" w:type="dxa"/>
            <w:tcBorders/>
            <w:vAlign w:val="center"/>
          </w:tcPr>
          <w:p>
            <w:pPr>
              <w:pStyle w:val="TableContents"/>
              <w:bidi w:val="0"/>
              <w:spacing w:before="0" w:after="283"/>
              <w:jc w:val="left"/>
              <w:rPr>
                <w:sz w:val="4"/>
                <w:szCs w:val="4"/>
              </w:rPr>
            </w:pPr>
            <w:r>
              <w:rPr>
                <w:sz w:val="4"/>
                <w:szCs w:val="4"/>
              </w:rPr>
            </w:r>
          </w:p>
        </w:tc>
        <w:tc>
          <w:tcPr>
            <w:tcW w:w="8777"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b/>
                <w:color w:val="305494"/>
                <w:sz w:val="20"/>
              </w:rPr>
            </w:pPr>
            <w:r>
              <w:rPr>
                <w:rFonts w:ascii="Times New Roman" w:hAnsi="Times New Roman"/>
                <w:b/>
                <w:color w:val="305494"/>
                <w:sz w:val="20"/>
              </w:rPr>
              <w:t>Virtual Location:</w:t>
            </w:r>
          </w:p>
        </w:tc>
        <w:tc>
          <w:tcPr>
            <w:tcW w:w="203" w:type="dxa"/>
            <w:tcBorders/>
            <w:vAlign w:val="bottom"/>
          </w:tcPr>
          <w:p>
            <w:pPr>
              <w:pStyle w:val="TableContents"/>
              <w:bidi w:val="0"/>
              <w:spacing w:before="0" w:after="283"/>
              <w:jc w:val="left"/>
              <w:rPr/>
            </w:pPr>
            <w:r>
              <w:rPr/>
              <w:t>  </w:t>
            </w:r>
          </w:p>
        </w:tc>
        <w:tc>
          <w:tcPr>
            <w:tcW w:w="8574" w:type="dxa"/>
            <w:tcBorders/>
            <w:vAlign w:val="bottom"/>
          </w:tcPr>
          <w:p>
            <w:pPr>
              <w:pStyle w:val="TableContents"/>
              <w:bidi w:val="0"/>
              <w:spacing w:before="0" w:after="283"/>
              <w:jc w:val="left"/>
              <w:rPr/>
            </w:pPr>
            <w:r>
              <w:rPr/>
              <w:t xml:space="preserve">You can attend the Annual Meeting online, including to vote and/or submit questions, at </w:t>
            </w:r>
            <w:r>
              <w:rPr>
                <w:color w:val="2E65AF"/>
                <w:u w:val="single"/>
              </w:rPr>
              <w:t>www.proxydocs.com/BDSX</w:t>
            </w:r>
            <w:r>
              <w:rPr/>
              <w:t>. See page 1 of the accompanying proxy statement for additional information regarding participation in the virtual meeting.</w:t>
            </w:r>
          </w:p>
        </w:tc>
      </w:tr>
      <w:tr>
        <w:trPr>
          <w:trHeight w:val="195" w:hRule="atLeast"/>
        </w:trPr>
        <w:tc>
          <w:tcPr>
            <w:tcW w:w="1428" w:type="dxa"/>
            <w:tcBorders/>
            <w:vAlign w:val="center"/>
          </w:tcPr>
          <w:p>
            <w:pPr>
              <w:pStyle w:val="TableContents"/>
              <w:bidi w:val="0"/>
              <w:spacing w:before="0" w:after="283"/>
              <w:jc w:val="left"/>
              <w:rPr>
                <w:sz w:val="4"/>
                <w:szCs w:val="4"/>
              </w:rPr>
            </w:pPr>
            <w:r>
              <w:rPr>
                <w:sz w:val="4"/>
                <w:szCs w:val="4"/>
              </w:rPr>
            </w:r>
          </w:p>
        </w:tc>
        <w:tc>
          <w:tcPr>
            <w:tcW w:w="8777"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b/>
                <w:color w:val="305494"/>
                <w:sz w:val="20"/>
              </w:rPr>
            </w:pPr>
            <w:r>
              <w:rPr>
                <w:rFonts w:ascii="Times New Roman" w:hAnsi="Times New Roman"/>
                <w:b/>
                <w:color w:val="305494"/>
                <w:sz w:val="20"/>
              </w:rPr>
              <w:t>Items of Business:</w:t>
            </w:r>
          </w:p>
        </w:tc>
        <w:tc>
          <w:tcPr>
            <w:tcW w:w="203" w:type="dxa"/>
            <w:tcBorders/>
            <w:vAlign w:val="bottom"/>
          </w:tcPr>
          <w:p>
            <w:pPr>
              <w:pStyle w:val="TableContents"/>
              <w:bidi w:val="0"/>
              <w:spacing w:before="0" w:after="283"/>
              <w:jc w:val="left"/>
              <w:rPr/>
            </w:pPr>
            <w:r>
              <w:rPr/>
              <w:t>  </w:t>
            </w:r>
          </w:p>
        </w:tc>
        <w:tc>
          <w:tcPr>
            <w:tcW w:w="85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At the Annual Meeting, stockholders will be asked to vote: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1.  to elect the three Class I directors named in this proxy statement to hold office until the 2027 annual meeting of stockholders;</w:t>
            </w:r>
          </w:p>
          <w:p>
            <w:pPr>
              <w:pStyle w:val="TableContents"/>
              <w:bidi w:val="0"/>
              <w:spacing w:before="0" w:after="0"/>
              <w:jc w:val="left"/>
              <w:rPr>
                <w:rFonts w:ascii="Times New Roman" w:hAnsi="Times New Roman"/>
                <w:sz w:val="20"/>
              </w:rPr>
            </w:pPr>
            <w:r>
              <w:rPr>
                <w:rFonts w:ascii="Times New Roman" w:hAnsi="Times New Roman"/>
                <w:sz w:val="20"/>
              </w:rPr>
              <w:t>2.  to ratify the appointment of KPMG LLP as our independent registered public accounting firm for the year ending December 31, 2024;</w:t>
            </w:r>
          </w:p>
          <w:p>
            <w:pPr>
              <w:pStyle w:val="TableContents"/>
              <w:bidi w:val="0"/>
              <w:spacing w:before="0" w:after="0"/>
              <w:jc w:val="left"/>
              <w:rPr>
                <w:rFonts w:ascii="Times New Roman" w:hAnsi="Times New Roman"/>
                <w:sz w:val="20"/>
              </w:rPr>
            </w:pPr>
            <w:r>
              <w:rPr>
                <w:rFonts w:ascii="Times New Roman" w:hAnsi="Times New Roman"/>
                <w:sz w:val="20"/>
              </w:rPr>
              <w:t>3.  To approve, for purposes of complying with Nasdaq Listing Rule 5635(d), the conversion of the Companys Series A Non-Voting Convertible Preferred Stock, par value $0.001 per share (Series A Preferred Stock) into shares of the Companys common stock, par value $0.001 per share (Common Stock);</w:t>
            </w:r>
          </w:p>
          <w:p>
            <w:pPr>
              <w:pStyle w:val="TableContents"/>
              <w:bidi w:val="0"/>
              <w:spacing w:before="0" w:after="0"/>
              <w:jc w:val="left"/>
              <w:rPr>
                <w:rFonts w:ascii="Times New Roman" w:hAnsi="Times New Roman"/>
                <w:sz w:val="20"/>
              </w:rPr>
            </w:pPr>
            <w:r>
              <w:rPr>
                <w:rFonts w:ascii="Times New Roman" w:hAnsi="Times New Roman"/>
                <w:sz w:val="20"/>
              </w:rPr>
              <w:t>4.  To approve, for purposes of complying with Nasdaq Listing Rule 5635(c), the issuance of the Companys Series A Preferred Stock to certain of the Companys directors and officers and any shares of the Companys Common Stock issuable upon the conversion thereof; and</w:t>
            </w:r>
          </w:p>
          <w:p>
            <w:pPr>
              <w:pStyle w:val="TableContents"/>
              <w:bidi w:val="0"/>
              <w:spacing w:before="0" w:after="20"/>
              <w:jc w:val="left"/>
              <w:rPr>
                <w:rFonts w:ascii="Times New Roman" w:hAnsi="Times New Roman"/>
                <w:sz w:val="20"/>
              </w:rPr>
            </w:pPr>
            <w:r>
              <w:rPr>
                <w:rFonts w:ascii="Times New Roman" w:hAnsi="Times New Roman"/>
                <w:sz w:val="20"/>
              </w:rPr>
              <w:t>5.  to conduct any other business properly brought before the meeting, or any adjournment or postponement thereof.</w:t>
            </w:r>
          </w:p>
        </w:tc>
      </w:tr>
      <w:tr>
        <w:trPr>
          <w:trHeight w:val="195" w:hRule="atLeast"/>
        </w:trPr>
        <w:tc>
          <w:tcPr>
            <w:tcW w:w="1428" w:type="dxa"/>
            <w:tcBorders/>
            <w:vAlign w:val="center"/>
          </w:tcPr>
          <w:p>
            <w:pPr>
              <w:pStyle w:val="TableContents"/>
              <w:bidi w:val="0"/>
              <w:spacing w:before="0" w:after="283"/>
              <w:jc w:val="left"/>
              <w:rPr>
                <w:sz w:val="4"/>
                <w:szCs w:val="4"/>
              </w:rPr>
            </w:pPr>
            <w:r>
              <w:rPr>
                <w:sz w:val="4"/>
                <w:szCs w:val="4"/>
              </w:rPr>
            </w:r>
          </w:p>
        </w:tc>
        <w:tc>
          <w:tcPr>
            <w:tcW w:w="8777"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b/>
                <w:color w:val="305494"/>
                <w:sz w:val="20"/>
              </w:rPr>
            </w:pPr>
            <w:r>
              <w:rPr>
                <w:rFonts w:ascii="Times New Roman" w:hAnsi="Times New Roman"/>
                <w:b/>
                <w:color w:val="305494"/>
                <w:sz w:val="20"/>
              </w:rPr>
              <w:t>Record Date:</w:t>
            </w:r>
          </w:p>
        </w:tc>
        <w:tc>
          <w:tcPr>
            <w:tcW w:w="203" w:type="dxa"/>
            <w:tcBorders/>
            <w:vAlign w:val="bottom"/>
          </w:tcPr>
          <w:p>
            <w:pPr>
              <w:pStyle w:val="TableContents"/>
              <w:bidi w:val="0"/>
              <w:spacing w:before="0" w:after="283"/>
              <w:jc w:val="left"/>
              <w:rPr/>
            </w:pPr>
            <w:r>
              <w:rPr/>
              <w:t>  </w:t>
            </w:r>
          </w:p>
        </w:tc>
        <w:tc>
          <w:tcPr>
            <w:tcW w:w="8574" w:type="dxa"/>
            <w:tcBorders/>
            <w:vAlign w:val="bottom"/>
          </w:tcPr>
          <w:p>
            <w:pPr>
              <w:pStyle w:val="TableContents"/>
              <w:bidi w:val="0"/>
              <w:spacing w:before="0" w:after="283"/>
              <w:jc w:val="left"/>
              <w:rPr/>
            </w:pPr>
            <w:r>
              <w:rPr/>
              <w:t>You can participate in the Annual Meeting and vote if you were a stockholder of record as of the close of business on March 25, 2024.</w:t>
            </w:r>
          </w:p>
        </w:tc>
      </w:tr>
      <w:tr>
        <w:trPr>
          <w:trHeight w:val="195" w:hRule="atLeast"/>
        </w:trPr>
        <w:tc>
          <w:tcPr>
            <w:tcW w:w="1428" w:type="dxa"/>
            <w:tcBorders/>
            <w:vAlign w:val="center"/>
          </w:tcPr>
          <w:p>
            <w:pPr>
              <w:pStyle w:val="TableContents"/>
              <w:bidi w:val="0"/>
              <w:spacing w:before="0" w:after="283"/>
              <w:jc w:val="left"/>
              <w:rPr>
                <w:sz w:val="4"/>
                <w:szCs w:val="4"/>
              </w:rPr>
            </w:pPr>
            <w:r>
              <w:rPr>
                <w:sz w:val="4"/>
                <w:szCs w:val="4"/>
              </w:rPr>
            </w:r>
          </w:p>
        </w:tc>
        <w:tc>
          <w:tcPr>
            <w:tcW w:w="8777" w:type="dxa"/>
            <w:gridSpan w:val="2"/>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0"/>
              <w:jc w:val="left"/>
              <w:rPr>
                <w:rFonts w:ascii="Times New Roman" w:hAnsi="Times New Roman"/>
                <w:b/>
                <w:color w:val="305494"/>
                <w:sz w:val="20"/>
              </w:rPr>
            </w:pPr>
            <w:r>
              <w:rPr>
                <w:rFonts w:ascii="Times New Roman" w:hAnsi="Times New Roman"/>
                <w:b/>
                <w:color w:val="305494"/>
                <w:sz w:val="20"/>
              </w:rPr>
              <w:t>Voting:</w:t>
            </w:r>
          </w:p>
        </w:tc>
        <w:tc>
          <w:tcPr>
            <w:tcW w:w="203" w:type="dxa"/>
            <w:tcBorders/>
            <w:vAlign w:val="bottom"/>
          </w:tcPr>
          <w:p>
            <w:pPr>
              <w:pStyle w:val="TableContents"/>
              <w:bidi w:val="0"/>
              <w:spacing w:before="0" w:after="283"/>
              <w:jc w:val="left"/>
              <w:rPr/>
            </w:pPr>
            <w:r>
              <w:rPr/>
              <w:t>  </w:t>
            </w:r>
          </w:p>
        </w:tc>
        <w:tc>
          <w:tcPr>
            <w:tcW w:w="8574" w:type="dxa"/>
            <w:tcBorders/>
            <w:vAlign w:val="bottom"/>
          </w:tcPr>
          <w:p>
            <w:pPr>
              <w:pStyle w:val="TableContents"/>
              <w:bidi w:val="0"/>
              <w:spacing w:before="0" w:after="283"/>
              <w:jc w:val="left"/>
              <w:rPr/>
            </w:pPr>
            <w:r>
              <w:rPr>
                <w:b/>
              </w:rPr>
              <w:t>Your vote is very important to us.</w:t>
            </w:r>
            <w:r>
              <w:rPr/>
              <w:t xml:space="preserve"> Whether or not you plan to attend the virtual Annual Meeting, please ensure your shares are represented by voting promptly. For instructions on how to vote your shares, please refer to the instructions included with this proxy statement and your proxy card.</w:t>
            </w:r>
          </w:p>
        </w:tc>
      </w:tr>
    </w:tbl>
    <w:p>
      <w:pPr>
        <w:pStyle w:val="TextBody"/>
        <w:bidi w:val="0"/>
        <w:spacing w:before="48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152400" cy="425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 cy="42545"/>
                    </a:xfrm>
                    <a:prstGeom prst="rect">
                      <a:avLst/>
                    </a:prstGeom>
                  </pic:spPr>
                </pic:pic>
              </a:graphicData>
            </a:graphic>
          </wp:inline>
        </w:drawing>
      </w: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Robin Harper Cowie </w:t>
      </w:r>
    </w:p>
    <w:p>
      <w:pPr>
        <w:pStyle w:val="TextBody"/>
        <w:bidi w:val="0"/>
        <w:spacing w:before="0" w:after="0"/>
        <w:jc w:val="left"/>
        <w:rPr>
          <w:rFonts w:ascii="Times New Roman" w:hAnsi="Times New Roman"/>
          <w:sz w:val="20"/>
        </w:rPr>
      </w:pPr>
      <w:r>
        <w:rPr>
          <w:rFonts w:ascii="Times New Roman" w:hAnsi="Times New Roman"/>
          <w:sz w:val="20"/>
        </w:rPr>
        <w:t xml:space="preserve">Chief Financial Officer, Secretary and Treasurer </w:t>
      </w:r>
    </w:p>
    <w:p>
      <w:pPr>
        <w:pStyle w:val="TextBody"/>
        <w:bidi w:val="0"/>
        <w:spacing w:before="0" w:after="0"/>
        <w:jc w:val="left"/>
        <w:rPr>
          <w:rFonts w:ascii="Times New Roman" w:hAnsi="Times New Roman"/>
          <w:sz w:val="20"/>
        </w:rPr>
      </w:pPr>
      <w:r>
        <w:rPr>
          <w:rFonts w:ascii="Times New Roman" w:hAnsi="Times New Roman"/>
          <w:sz w:val="20"/>
        </w:rPr>
        <w:t xml:space="preserve">April 26, 2024 </w:t>
      </w:r>
    </w:p>
    <w:p>
      <w:pPr>
        <w:pStyle w:val="TextBody"/>
        <w:bidi w:val="0"/>
        <w:spacing w:before="240" w:after="0"/>
        <w:jc w:val="center"/>
        <w:rPr>
          <w:rFonts w:ascii="Times New Roman" w:hAnsi="Times New Roman"/>
          <w:i/>
          <w:sz w:val="20"/>
        </w:rPr>
      </w:pPr>
      <w:r>
        <w:rPr>
          <w:rFonts w:ascii="Times New Roman" w:hAnsi="Times New Roman"/>
          <w:i/>
          <w:sz w:val="20"/>
        </w:rPr>
        <w:t xml:space="preserve">This Notice of 2024 Annual Meeting of Stockholders, the accompanying proxy statement and our 2023 Annual Report on Form 10-K are available on our website at https://investors.biodesix.com/investor-relations in the SEC Filings section, as well as at </w:t>
      </w:r>
      <w:r>
        <w:rPr>
          <w:rFonts w:ascii="Times New Roman" w:hAnsi="Times New Roman"/>
          <w:i/>
          <w:color w:val="2E65AF"/>
          <w:sz w:val="20"/>
          <w:u w:val="single"/>
        </w:rPr>
        <w:t>www.proxydocs.com/BDSX</w:t>
      </w:r>
      <w:r>
        <w:rPr>
          <w:rFonts w:ascii="Times New Roman" w:hAnsi="Times New Roman"/>
          <w:i/>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color w:val="305494"/>
          <w:sz w:val="40"/>
        </w:rPr>
      </w:pPr>
      <w:bookmarkStart w:id="2" w:name="toc"/>
      <w:bookmarkEnd w:id="2"/>
      <w:r>
        <w:rPr>
          <w:rFonts w:ascii="Times New Roman" w:hAnsi="Times New Roman"/>
          <w:color w:val="305494"/>
          <w:sz w:val="4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68"/>
        <w:gridCol w:w="253"/>
        <w:gridCol w:w="60"/>
        <w:gridCol w:w="261"/>
        <w:gridCol w:w="63"/>
      </w:tblGrid>
      <w:tr>
        <w:trPr/>
        <w:tc>
          <w:tcPr>
            <w:tcW w:w="9568"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oc674951_1">
              <w:r>
                <w:rPr>
                  <w:rStyle w:val="InternetLink"/>
                  <w:rFonts w:ascii="Times New Roman" w:hAnsi="Times New Roman"/>
                  <w:b/>
                  <w:color w:val="305494"/>
                  <w:sz w:val="22"/>
                </w:rPr>
                <w:t>ANNUAL MEETING INFORMATION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color w:val="305494"/>
              </w:rPr>
            </w:pPr>
            <w:r>
              <w:rPr>
                <w:color w:val="305494"/>
              </w:rPr>
              <w:t> </w:t>
            </w:r>
          </w:p>
        </w:tc>
        <w:tc>
          <w:tcPr>
            <w:tcW w:w="261" w:type="dxa"/>
            <w:tcBorders/>
            <w:vAlign w:val="bottom"/>
          </w:tcPr>
          <w:p>
            <w:pPr>
              <w:pStyle w:val="TableContents"/>
              <w:bidi w:val="0"/>
              <w:spacing w:before="0" w:after="283"/>
              <w:jc w:val="right"/>
              <w:rPr>
                <w:b/>
                <w:color w:val="305494"/>
              </w:rPr>
            </w:pPr>
            <w:r>
              <w:rPr>
                <w:b/>
                <w:color w:val="305494"/>
              </w:rPr>
              <w:t>1</w:t>
            </w:r>
          </w:p>
        </w:tc>
        <w:tc>
          <w:tcPr>
            <w:tcW w:w="63" w:type="dxa"/>
            <w:tcBorders/>
            <w:vAlign w:val="bottom"/>
          </w:tcPr>
          <w:p>
            <w:pPr>
              <w:pStyle w:val="TableContents"/>
              <w:bidi w:val="0"/>
              <w:spacing w:before="0" w:after="283"/>
              <w:jc w:val="left"/>
              <w:rPr>
                <w:color w:val="305494"/>
              </w:rPr>
            </w:pPr>
            <w:r>
              <w:rPr>
                <w:color w:val="305494"/>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oc674951_2">
              <w:r>
                <w:rPr>
                  <w:rStyle w:val="InternetLink"/>
                  <w:rFonts w:ascii="Times New Roman" w:hAnsi="Times New Roman"/>
                  <w:b/>
                  <w:color w:val="124A8D"/>
                  <w:sz w:val="22"/>
                </w:rPr>
                <w:t>BOARD AND CORPORATE GOVERNANCE MATTERS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color w:val="305494"/>
              </w:rPr>
            </w:pPr>
            <w:r>
              <w:rPr>
                <w:color w:val="305494"/>
              </w:rPr>
              <w:t> </w:t>
            </w:r>
          </w:p>
        </w:tc>
        <w:tc>
          <w:tcPr>
            <w:tcW w:w="261" w:type="dxa"/>
            <w:tcBorders/>
            <w:vAlign w:val="bottom"/>
          </w:tcPr>
          <w:p>
            <w:pPr>
              <w:pStyle w:val="TableContents"/>
              <w:bidi w:val="0"/>
              <w:spacing w:before="0" w:after="283"/>
              <w:jc w:val="right"/>
              <w:rPr>
                <w:b/>
                <w:color w:val="305494"/>
              </w:rPr>
            </w:pPr>
            <w:r>
              <w:rPr>
                <w:b/>
                <w:color w:val="305494"/>
              </w:rPr>
              <w:t>8</w:t>
            </w:r>
          </w:p>
        </w:tc>
        <w:tc>
          <w:tcPr>
            <w:tcW w:w="63" w:type="dxa"/>
            <w:tcBorders/>
            <w:vAlign w:val="bottom"/>
          </w:tcPr>
          <w:p>
            <w:pPr>
              <w:pStyle w:val="TableContents"/>
              <w:bidi w:val="0"/>
              <w:spacing w:before="0" w:after="283"/>
              <w:jc w:val="left"/>
              <w:rPr>
                <w:color w:val="305494"/>
              </w:rPr>
            </w:pPr>
            <w:r>
              <w:rPr>
                <w:color w:val="305494"/>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3">
              <w:r>
                <w:rPr>
                  <w:rStyle w:val="InternetLink"/>
                  <w:rFonts w:ascii="Times New Roman" w:hAnsi="Times New Roman"/>
                  <w:sz w:val="22"/>
                </w:rPr>
                <w:t>Proposal One: Election of Directors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4">
              <w:r>
                <w:rPr>
                  <w:rStyle w:val="InternetLink"/>
                  <w:rFonts w:ascii="Times New Roman" w:hAnsi="Times New Roman"/>
                  <w:sz w:val="22"/>
                </w:rPr>
                <w:t>Overview of Our Nominees and Continuing Directors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5">
              <w:r>
                <w:rPr>
                  <w:rStyle w:val="InternetLink"/>
                  <w:rFonts w:ascii="Times New Roman" w:hAnsi="Times New Roman"/>
                  <w:sz w:val="22"/>
                </w:rPr>
                <w:t>Board Composition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6">
              <w:r>
                <w:rPr>
                  <w:rStyle w:val="InternetLink"/>
                  <w:rFonts w:ascii="Times New Roman" w:hAnsi="Times New Roman"/>
                  <w:sz w:val="22"/>
                </w:rPr>
                <w:t>Director Independence</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7">
              <w:r>
                <w:rPr>
                  <w:rStyle w:val="InternetLink"/>
                  <w:rFonts w:ascii="Times New Roman" w:hAnsi="Times New Roman"/>
                  <w:sz w:val="22"/>
                </w:rPr>
                <w:t>Board Leadership Structure</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8">
              <w:r>
                <w:rPr>
                  <w:rStyle w:val="InternetLink"/>
                  <w:rFonts w:ascii="Times New Roman" w:hAnsi="Times New Roman"/>
                  <w:sz w:val="22"/>
                </w:rPr>
                <w:t>Role of our Board of Directors in Risk Oversight</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9">
              <w:r>
                <w:rPr>
                  <w:rStyle w:val="InternetLink"/>
                  <w:rFonts w:ascii="Times New Roman" w:hAnsi="Times New Roman"/>
                  <w:sz w:val="22"/>
                </w:rPr>
                <w:t>Meetings of our Board of Directors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10">
              <w:r>
                <w:rPr>
                  <w:rStyle w:val="InternetLink"/>
                  <w:rFonts w:ascii="Times New Roman" w:hAnsi="Times New Roman"/>
                  <w:sz w:val="22"/>
                </w:rPr>
                <w:t>Committees of our Board of Directors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11">
              <w:r>
                <w:rPr>
                  <w:rStyle w:val="InternetLink"/>
                  <w:rFonts w:ascii="Times New Roman" w:hAnsi="Times New Roman"/>
                  <w:sz w:val="22"/>
                </w:rPr>
                <w:t>Committee Composition and Meetings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12">
              <w:r>
                <w:rPr>
                  <w:rStyle w:val="InternetLink"/>
                  <w:rFonts w:ascii="Times New Roman" w:hAnsi="Times New Roman"/>
                  <w:sz w:val="22"/>
                </w:rPr>
                <w:t>Audit Committee</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13">
              <w:r>
                <w:rPr>
                  <w:rStyle w:val="InternetLink"/>
                  <w:rFonts w:ascii="Times New Roman" w:hAnsi="Times New Roman"/>
                  <w:sz w:val="22"/>
                </w:rPr>
                <w:t>Compensation Committee</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14">
              <w:r>
                <w:rPr>
                  <w:rStyle w:val="InternetLink"/>
                  <w:rFonts w:ascii="Times New Roman" w:hAnsi="Times New Roman"/>
                  <w:sz w:val="22"/>
                </w:rPr>
                <w:t>Compensation Committee Interlocks and Insider Participation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15">
              <w:r>
                <w:rPr>
                  <w:rStyle w:val="InternetLink"/>
                  <w:rFonts w:ascii="Times New Roman" w:hAnsi="Times New Roman"/>
                  <w:sz w:val="22"/>
                </w:rPr>
                <w:t>Nominating and Corporate Governance Committee</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16">
              <w:r>
                <w:rPr>
                  <w:rStyle w:val="InternetLink"/>
                  <w:rFonts w:ascii="Times New Roman" w:hAnsi="Times New Roman"/>
                  <w:sz w:val="22"/>
                </w:rPr>
                <w:t>Director Nomination Process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17">
              <w:r>
                <w:rPr>
                  <w:rStyle w:val="InternetLink"/>
                  <w:rFonts w:ascii="Times New Roman" w:hAnsi="Times New Roman"/>
                  <w:sz w:val="22"/>
                </w:rPr>
                <w:t>Board Diversity Matrix</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18">
              <w:r>
                <w:rPr>
                  <w:rStyle w:val="InternetLink"/>
                  <w:rFonts w:ascii="Times New Roman" w:hAnsi="Times New Roman"/>
                  <w:sz w:val="22"/>
                </w:rPr>
                <w:t>Executive Officers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19">
              <w:r>
                <w:rPr>
                  <w:rStyle w:val="InternetLink"/>
                  <w:rFonts w:ascii="Times New Roman" w:hAnsi="Times New Roman"/>
                  <w:sz w:val="22"/>
                </w:rPr>
                <w:t>Code of Business Conduct and Ethics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20">
              <w:r>
                <w:rPr>
                  <w:rStyle w:val="InternetLink"/>
                  <w:rFonts w:ascii="Times New Roman" w:hAnsi="Times New Roman"/>
                  <w:sz w:val="22"/>
                </w:rPr>
                <w:t>Corporate Governance Guidelines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21">
              <w:r>
                <w:rPr>
                  <w:rStyle w:val="InternetLink"/>
                  <w:rFonts w:ascii="Times New Roman" w:hAnsi="Times New Roman"/>
                  <w:sz w:val="22"/>
                </w:rPr>
                <w:t>Anti-Hedging and Anti-Pledging Policy</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22">
              <w:r>
                <w:rPr>
                  <w:rStyle w:val="InternetLink"/>
                  <w:rFonts w:ascii="Times New Roman" w:hAnsi="Times New Roman"/>
                  <w:sz w:val="22"/>
                </w:rPr>
                <w:t>Stockholder Communications with our Board of Directors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23">
              <w:r>
                <w:rPr>
                  <w:rStyle w:val="InternetLink"/>
                  <w:rFonts w:ascii="Times New Roman" w:hAnsi="Times New Roman"/>
                  <w:sz w:val="22"/>
                </w:rPr>
                <w:t>Certain Relationships and Related Party Transactions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oc674951_24">
              <w:r>
                <w:rPr>
                  <w:rStyle w:val="InternetLink"/>
                  <w:rFonts w:ascii="Times New Roman" w:hAnsi="Times New Roman"/>
                  <w:b/>
                  <w:color w:val="124A8D"/>
                  <w:sz w:val="22"/>
                </w:rPr>
                <w:t xml:space="preserve">EQUITY COMPENSATION PLAN INFORMATION </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color w:val="305494"/>
              </w:rPr>
            </w:pPr>
            <w:r>
              <w:rPr>
                <w:color w:val="305494"/>
              </w:rPr>
              <w:t> </w:t>
            </w:r>
          </w:p>
        </w:tc>
        <w:tc>
          <w:tcPr>
            <w:tcW w:w="261" w:type="dxa"/>
            <w:tcBorders/>
            <w:vAlign w:val="bottom"/>
          </w:tcPr>
          <w:p>
            <w:pPr>
              <w:pStyle w:val="TableContents"/>
              <w:bidi w:val="0"/>
              <w:spacing w:before="0" w:after="283"/>
              <w:jc w:val="right"/>
              <w:rPr>
                <w:b/>
                <w:color w:val="305494"/>
              </w:rPr>
            </w:pPr>
            <w:r>
              <w:rPr>
                <w:b/>
                <w:color w:val="305494"/>
              </w:rPr>
              <w:t>22</w:t>
            </w:r>
          </w:p>
        </w:tc>
        <w:tc>
          <w:tcPr>
            <w:tcW w:w="63" w:type="dxa"/>
            <w:tcBorders/>
            <w:vAlign w:val="bottom"/>
          </w:tcPr>
          <w:p>
            <w:pPr>
              <w:pStyle w:val="TableContents"/>
              <w:bidi w:val="0"/>
              <w:spacing w:before="0" w:after="283"/>
              <w:jc w:val="left"/>
              <w:rPr>
                <w:color w:val="305494"/>
              </w:rPr>
            </w:pPr>
            <w:r>
              <w:rPr>
                <w:color w:val="305494"/>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25">
              <w:r>
                <w:rPr>
                  <w:rStyle w:val="InternetLink"/>
                  <w:rFonts w:ascii="Times New Roman" w:hAnsi="Times New Roman"/>
                  <w:b/>
                  <w:color w:val="124A8D"/>
                  <w:sz w:val="22"/>
                </w:rPr>
                <w:t>DIRECTOR COMPENSATION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color w:val="305494"/>
              </w:rPr>
            </w:pPr>
            <w:r>
              <w:rPr>
                <w:color w:val="305494"/>
              </w:rPr>
              <w:t> </w:t>
            </w:r>
          </w:p>
        </w:tc>
        <w:tc>
          <w:tcPr>
            <w:tcW w:w="261" w:type="dxa"/>
            <w:tcBorders/>
            <w:vAlign w:val="bottom"/>
          </w:tcPr>
          <w:p>
            <w:pPr>
              <w:pStyle w:val="TableContents"/>
              <w:bidi w:val="0"/>
              <w:spacing w:before="0" w:after="283"/>
              <w:jc w:val="right"/>
              <w:rPr>
                <w:b/>
                <w:color w:val="305494"/>
              </w:rPr>
            </w:pPr>
            <w:r>
              <w:rPr>
                <w:b/>
                <w:color w:val="305494"/>
              </w:rPr>
              <w:t>23</w:t>
            </w:r>
          </w:p>
        </w:tc>
        <w:tc>
          <w:tcPr>
            <w:tcW w:w="63" w:type="dxa"/>
            <w:tcBorders/>
            <w:vAlign w:val="bottom"/>
          </w:tcPr>
          <w:p>
            <w:pPr>
              <w:pStyle w:val="TableContents"/>
              <w:bidi w:val="0"/>
              <w:spacing w:before="0" w:after="283"/>
              <w:jc w:val="left"/>
              <w:rPr>
                <w:color w:val="305494"/>
              </w:rPr>
            </w:pPr>
            <w:r>
              <w:rPr>
                <w:color w:val="305494"/>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26">
              <w:r>
                <w:rPr>
                  <w:rStyle w:val="InternetLink"/>
                  <w:rFonts w:ascii="Times New Roman" w:hAnsi="Times New Roman"/>
                  <w:sz w:val="22"/>
                </w:rPr>
                <w:t xml:space="preserve">Non-Employee Director Compensation Policy </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27">
              <w:r>
                <w:rPr>
                  <w:rStyle w:val="InternetLink"/>
                  <w:rFonts w:ascii="Times New Roman" w:hAnsi="Times New Roman"/>
                  <w:sz w:val="22"/>
                </w:rPr>
                <w:t>Director Deferred Compensation Plan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oc674951_28">
              <w:r>
                <w:rPr>
                  <w:rStyle w:val="InternetLink"/>
                  <w:rFonts w:ascii="Times New Roman" w:hAnsi="Times New Roman"/>
                  <w:sz w:val="22"/>
                </w:rPr>
                <w:t>2023 Director Compensation Table</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29">
              <w:r>
                <w:rPr>
                  <w:rStyle w:val="InternetLink"/>
                  <w:rFonts w:ascii="Times New Roman" w:hAnsi="Times New Roman"/>
                  <w:b/>
                  <w:color w:val="124A8D"/>
                  <w:sz w:val="22"/>
                </w:rPr>
                <w:t>EXECUTIVE COMPENSATION</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color w:val="305494"/>
              </w:rPr>
            </w:pPr>
            <w:r>
              <w:rPr>
                <w:color w:val="305494"/>
              </w:rPr>
              <w:t> </w:t>
            </w:r>
          </w:p>
        </w:tc>
        <w:tc>
          <w:tcPr>
            <w:tcW w:w="261" w:type="dxa"/>
            <w:tcBorders/>
            <w:vAlign w:val="bottom"/>
          </w:tcPr>
          <w:p>
            <w:pPr>
              <w:pStyle w:val="TableContents"/>
              <w:bidi w:val="0"/>
              <w:spacing w:before="0" w:after="283"/>
              <w:jc w:val="right"/>
              <w:rPr>
                <w:b/>
                <w:color w:val="305494"/>
              </w:rPr>
            </w:pPr>
            <w:r>
              <w:rPr>
                <w:b/>
                <w:color w:val="305494"/>
              </w:rPr>
              <w:t>27</w:t>
            </w:r>
          </w:p>
        </w:tc>
        <w:tc>
          <w:tcPr>
            <w:tcW w:w="63" w:type="dxa"/>
            <w:tcBorders/>
            <w:vAlign w:val="bottom"/>
          </w:tcPr>
          <w:p>
            <w:pPr>
              <w:pStyle w:val="TableContents"/>
              <w:bidi w:val="0"/>
              <w:spacing w:before="0" w:after="283"/>
              <w:jc w:val="left"/>
              <w:rPr>
                <w:color w:val="305494"/>
              </w:rPr>
            </w:pPr>
            <w:r>
              <w:rPr>
                <w:color w:val="305494"/>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30">
              <w:r>
                <w:rPr>
                  <w:rStyle w:val="InternetLink"/>
                  <w:rFonts w:ascii="Times New Roman" w:hAnsi="Times New Roman"/>
                  <w:sz w:val="22"/>
                </w:rPr>
                <w:t>Overview</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31">
              <w:r>
                <w:rPr>
                  <w:rStyle w:val="InternetLink"/>
                  <w:rFonts w:ascii="Times New Roman" w:hAnsi="Times New Roman"/>
                  <w:sz w:val="22"/>
                </w:rPr>
                <w:t>Compensation of Named Executive Officers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32">
              <w:r>
                <w:rPr>
                  <w:rStyle w:val="InternetLink"/>
                  <w:rFonts w:ascii="Times New Roman" w:hAnsi="Times New Roman"/>
                  <w:sz w:val="22"/>
                </w:rPr>
                <w:t>2023 Summary Compensation Table</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33">
              <w:r>
                <w:rPr>
                  <w:rStyle w:val="InternetLink"/>
                  <w:rFonts w:ascii="Times New Roman" w:hAnsi="Times New Roman"/>
                  <w:sz w:val="22"/>
                </w:rPr>
                <w:t xml:space="preserve">Outstanding Equity Awards at 2023 Fiscal Year-End </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vAlign w:val="bottom"/>
          </w:tcPr>
          <w:p>
            <w:pPr>
              <w:pStyle w:val="TableContents"/>
              <w:bidi w:val="0"/>
              <w:spacing w:before="0" w:after="0"/>
              <w:jc w:val="left"/>
              <w:rPr/>
            </w:pPr>
            <w:hyperlink w:anchor="toc674951_34">
              <w:r>
                <w:rPr>
                  <w:rStyle w:val="InternetLink"/>
                  <w:rFonts w:ascii="Times New Roman" w:hAnsi="Times New Roman"/>
                  <w:sz w:val="22"/>
                </w:rPr>
                <w:t>Additional Matters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35">
              <w:r>
                <w:rPr>
                  <w:rStyle w:val="InternetLink"/>
                  <w:rFonts w:ascii="Times New Roman" w:hAnsi="Times New Roman"/>
                  <w:b/>
                  <w:color w:val="124A8D"/>
                  <w:sz w:val="22"/>
                </w:rPr>
                <w:t>STOCK OWNERSHIP</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color w:val="305494"/>
              </w:rPr>
            </w:pPr>
            <w:r>
              <w:rPr>
                <w:color w:val="305494"/>
              </w:rPr>
              <w:t> </w:t>
            </w:r>
          </w:p>
        </w:tc>
        <w:tc>
          <w:tcPr>
            <w:tcW w:w="261" w:type="dxa"/>
            <w:tcBorders/>
            <w:vAlign w:val="bottom"/>
          </w:tcPr>
          <w:p>
            <w:pPr>
              <w:pStyle w:val="TableContents"/>
              <w:bidi w:val="0"/>
              <w:spacing w:before="0" w:after="283"/>
              <w:jc w:val="right"/>
              <w:rPr>
                <w:b/>
                <w:color w:val="305494"/>
              </w:rPr>
            </w:pPr>
            <w:r>
              <w:rPr>
                <w:b/>
                <w:color w:val="305494"/>
              </w:rPr>
              <w:t>36</w:t>
            </w:r>
          </w:p>
        </w:tc>
        <w:tc>
          <w:tcPr>
            <w:tcW w:w="63" w:type="dxa"/>
            <w:tcBorders/>
            <w:vAlign w:val="bottom"/>
          </w:tcPr>
          <w:p>
            <w:pPr>
              <w:pStyle w:val="TableContents"/>
              <w:bidi w:val="0"/>
              <w:spacing w:before="0" w:after="283"/>
              <w:jc w:val="left"/>
              <w:rPr>
                <w:color w:val="305494"/>
              </w:rPr>
            </w:pPr>
            <w:r>
              <w:rPr>
                <w:color w:val="305494"/>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36">
              <w:r>
                <w:rPr>
                  <w:rStyle w:val="InternetLink"/>
                  <w:rFonts w:ascii="Times New Roman" w:hAnsi="Times New Roman"/>
                  <w:sz w:val="22"/>
                </w:rPr>
                <w:t>Security Ownership of Certain Beneficial Owners and Management</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60" w:hRule="atLeast"/>
        </w:trPr>
        <w:tc>
          <w:tcPr>
            <w:tcW w:w="9568" w:type="dxa"/>
            <w:tcBorders/>
            <w:vAlign w:val="center"/>
          </w:tcPr>
          <w:p>
            <w:pPr>
              <w:pStyle w:val="TableContents"/>
              <w:bidi w:val="0"/>
              <w:spacing w:before="0" w:after="283"/>
              <w:jc w:val="left"/>
              <w:rPr>
                <w:sz w:val="4"/>
                <w:szCs w:val="4"/>
              </w:rPr>
            </w:pPr>
            <w:r>
              <w:rPr>
                <w:sz w:val="4"/>
                <w:szCs w:val="4"/>
              </w:rPr>
            </w:r>
          </w:p>
        </w:tc>
        <w:tc>
          <w:tcPr>
            <w:tcW w:w="637" w:type="dxa"/>
            <w:gridSpan w:val="4"/>
            <w:tcBorders/>
            <w:vAlign w:val="center"/>
          </w:tcPr>
          <w:p>
            <w:pPr>
              <w:pStyle w:val="TableContents"/>
              <w:bidi w:val="0"/>
              <w:spacing w:before="0" w:after="283"/>
              <w:jc w:val="left"/>
              <w:rPr>
                <w:sz w:val="4"/>
                <w:szCs w:val="4"/>
              </w:rPr>
            </w:pPr>
            <w:r>
              <w:rPr>
                <w:sz w:val="4"/>
                <w:szCs w:val="4"/>
              </w:rPr>
            </w:r>
          </w:p>
        </w:tc>
      </w:tr>
      <w:tr>
        <w:trPr/>
        <w:tc>
          <w:tcPr>
            <w:tcW w:w="9568" w:type="dxa"/>
            <w:tcBorders/>
          </w:tcPr>
          <w:p>
            <w:pPr>
              <w:pStyle w:val="TableContents"/>
              <w:bidi w:val="0"/>
              <w:spacing w:before="0" w:after="0"/>
              <w:jc w:val="left"/>
              <w:rPr/>
            </w:pPr>
            <w:hyperlink w:anchor="toc674951_37">
              <w:r>
                <w:rPr>
                  <w:rStyle w:val="InternetLink"/>
                  <w:rFonts w:ascii="Times New Roman" w:hAnsi="Times New Roman"/>
                  <w:sz w:val="22"/>
                </w:rPr>
                <w:t>Delinquent Section 16(a) Reports</w:t>
              </w:r>
            </w:hyperlink>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9562"/>
        <w:gridCol w:w="256"/>
        <w:gridCol w:w="60"/>
        <w:gridCol w:w="265"/>
        <w:gridCol w:w="62"/>
      </w:tblGrid>
      <w:tr>
        <w:trPr/>
        <w:tc>
          <w:tcPr>
            <w:tcW w:w="9562"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9562" w:type="dxa"/>
            <w:tcBorders/>
            <w:vAlign w:val="center"/>
          </w:tcPr>
          <w:p>
            <w:pPr>
              <w:pStyle w:val="TableContents"/>
              <w:bidi w:val="0"/>
              <w:spacing w:before="0" w:after="283"/>
              <w:jc w:val="left"/>
              <w:rPr>
                <w:sz w:val="4"/>
                <w:szCs w:val="4"/>
              </w:rPr>
            </w:pPr>
            <w:r>
              <w:rPr>
                <w:sz w:val="4"/>
                <w:szCs w:val="4"/>
              </w:rPr>
            </w:r>
          </w:p>
        </w:tc>
        <w:tc>
          <w:tcPr>
            <w:tcW w:w="643" w:type="dxa"/>
            <w:gridSpan w:val="4"/>
            <w:tcBorders/>
            <w:vAlign w:val="center"/>
          </w:tcPr>
          <w:p>
            <w:pPr>
              <w:pStyle w:val="TableContents"/>
              <w:bidi w:val="0"/>
              <w:spacing w:before="0" w:after="283"/>
              <w:jc w:val="left"/>
              <w:rPr>
                <w:sz w:val="4"/>
                <w:szCs w:val="4"/>
              </w:rPr>
            </w:pPr>
            <w:r>
              <w:rPr>
                <w:sz w:val="4"/>
                <w:szCs w:val="4"/>
              </w:rPr>
            </w:r>
          </w:p>
        </w:tc>
      </w:tr>
      <w:tr>
        <w:trPr/>
        <w:tc>
          <w:tcPr>
            <w:tcW w:w="9562" w:type="dxa"/>
            <w:tcBorders/>
          </w:tcPr>
          <w:p>
            <w:pPr>
              <w:pStyle w:val="TableContents"/>
              <w:bidi w:val="0"/>
              <w:spacing w:before="0" w:after="0"/>
              <w:jc w:val="left"/>
              <w:rPr/>
            </w:pPr>
            <w:hyperlink w:anchor="toc674951_38">
              <w:r>
                <w:rPr>
                  <w:rStyle w:val="InternetLink"/>
                  <w:rFonts w:ascii="Times New Roman" w:hAnsi="Times New Roman"/>
                  <w:b/>
                  <w:color w:val="124A8D"/>
                  <w:sz w:val="22"/>
                </w:rPr>
                <w:t>AUDIT MATTERS</w:t>
              </w:r>
            </w:hyperlink>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color w:val="305494"/>
              </w:rPr>
            </w:pPr>
            <w:r>
              <w:rPr>
                <w:color w:val="305494"/>
              </w:rPr>
              <w:t> </w:t>
            </w:r>
          </w:p>
        </w:tc>
        <w:tc>
          <w:tcPr>
            <w:tcW w:w="265" w:type="dxa"/>
            <w:tcBorders/>
            <w:vAlign w:val="bottom"/>
          </w:tcPr>
          <w:p>
            <w:pPr>
              <w:pStyle w:val="TableContents"/>
              <w:bidi w:val="0"/>
              <w:spacing w:before="0" w:after="283"/>
              <w:jc w:val="right"/>
              <w:rPr>
                <w:b/>
                <w:color w:val="305494"/>
              </w:rPr>
            </w:pPr>
            <w:r>
              <w:rPr>
                <w:b/>
                <w:color w:val="305494"/>
              </w:rPr>
              <w:t>39</w:t>
            </w:r>
          </w:p>
        </w:tc>
        <w:tc>
          <w:tcPr>
            <w:tcW w:w="62" w:type="dxa"/>
            <w:tcBorders/>
            <w:vAlign w:val="bottom"/>
          </w:tcPr>
          <w:p>
            <w:pPr>
              <w:pStyle w:val="TableContents"/>
              <w:bidi w:val="0"/>
              <w:spacing w:before="0" w:after="283"/>
              <w:jc w:val="left"/>
              <w:rPr>
                <w:color w:val="305494"/>
              </w:rPr>
            </w:pPr>
            <w:r>
              <w:rPr>
                <w:color w:val="305494"/>
              </w:rPr>
              <w:t> </w:t>
            </w:r>
          </w:p>
        </w:tc>
      </w:tr>
      <w:tr>
        <w:trPr>
          <w:trHeight w:val="60" w:hRule="atLeast"/>
        </w:trPr>
        <w:tc>
          <w:tcPr>
            <w:tcW w:w="9562" w:type="dxa"/>
            <w:tcBorders/>
            <w:vAlign w:val="center"/>
          </w:tcPr>
          <w:p>
            <w:pPr>
              <w:pStyle w:val="TableContents"/>
              <w:bidi w:val="0"/>
              <w:spacing w:before="0" w:after="283"/>
              <w:jc w:val="left"/>
              <w:rPr>
                <w:sz w:val="4"/>
                <w:szCs w:val="4"/>
              </w:rPr>
            </w:pPr>
            <w:r>
              <w:rPr>
                <w:sz w:val="4"/>
                <w:szCs w:val="4"/>
              </w:rPr>
            </w:r>
          </w:p>
        </w:tc>
        <w:tc>
          <w:tcPr>
            <w:tcW w:w="643" w:type="dxa"/>
            <w:gridSpan w:val="4"/>
            <w:tcBorders/>
            <w:vAlign w:val="center"/>
          </w:tcPr>
          <w:p>
            <w:pPr>
              <w:pStyle w:val="TableContents"/>
              <w:bidi w:val="0"/>
              <w:spacing w:before="0" w:after="283"/>
              <w:jc w:val="left"/>
              <w:rPr>
                <w:sz w:val="4"/>
                <w:szCs w:val="4"/>
              </w:rPr>
            </w:pPr>
            <w:r>
              <w:rPr>
                <w:sz w:val="4"/>
                <w:szCs w:val="4"/>
              </w:rPr>
            </w:r>
          </w:p>
        </w:tc>
      </w:tr>
      <w:tr>
        <w:trPr/>
        <w:tc>
          <w:tcPr>
            <w:tcW w:w="9562" w:type="dxa"/>
            <w:tcBorders/>
          </w:tcPr>
          <w:p>
            <w:pPr>
              <w:pStyle w:val="TableContents"/>
              <w:bidi w:val="0"/>
              <w:spacing w:before="0" w:after="0"/>
              <w:jc w:val="left"/>
              <w:rPr/>
            </w:pPr>
            <w:hyperlink w:anchor="toc674951_39">
              <w:r>
                <w:rPr>
                  <w:rStyle w:val="InternetLink"/>
                  <w:rFonts w:ascii="Times New Roman" w:hAnsi="Times New Roman"/>
                  <w:sz w:val="22"/>
                </w:rPr>
                <w:t>Proposal Two: Ratification of Appointment of Independent Registered Public Accounting Firm</w:t>
              </w:r>
            </w:hyperlink>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562" w:type="dxa"/>
            <w:tcBorders/>
          </w:tcPr>
          <w:p>
            <w:pPr>
              <w:pStyle w:val="TableContents"/>
              <w:bidi w:val="0"/>
              <w:spacing w:before="0" w:after="0"/>
              <w:jc w:val="left"/>
              <w:rPr/>
            </w:pPr>
            <w:hyperlink w:anchor="toc674951_40">
              <w:r>
                <w:rPr>
                  <w:rStyle w:val="InternetLink"/>
                  <w:rFonts w:ascii="Times New Roman" w:hAnsi="Times New Roman"/>
                  <w:sz w:val="22"/>
                </w:rPr>
                <w:t>Report of the Audit Committee</w:t>
              </w:r>
            </w:hyperlink>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rHeight w:val="60" w:hRule="atLeast"/>
        </w:trPr>
        <w:tc>
          <w:tcPr>
            <w:tcW w:w="9562" w:type="dxa"/>
            <w:tcBorders/>
            <w:vAlign w:val="center"/>
          </w:tcPr>
          <w:p>
            <w:pPr>
              <w:pStyle w:val="TableContents"/>
              <w:bidi w:val="0"/>
              <w:spacing w:before="0" w:after="283"/>
              <w:jc w:val="left"/>
              <w:rPr>
                <w:sz w:val="4"/>
                <w:szCs w:val="4"/>
              </w:rPr>
            </w:pPr>
            <w:r>
              <w:rPr>
                <w:sz w:val="4"/>
                <w:szCs w:val="4"/>
              </w:rPr>
            </w:r>
          </w:p>
        </w:tc>
        <w:tc>
          <w:tcPr>
            <w:tcW w:w="643" w:type="dxa"/>
            <w:gridSpan w:val="4"/>
            <w:tcBorders/>
            <w:vAlign w:val="center"/>
          </w:tcPr>
          <w:p>
            <w:pPr>
              <w:pStyle w:val="TableContents"/>
              <w:bidi w:val="0"/>
              <w:spacing w:before="0" w:after="283"/>
              <w:jc w:val="left"/>
              <w:rPr>
                <w:sz w:val="4"/>
                <w:szCs w:val="4"/>
              </w:rPr>
            </w:pPr>
            <w:r>
              <w:rPr>
                <w:sz w:val="4"/>
                <w:szCs w:val="4"/>
              </w:rPr>
            </w:r>
          </w:p>
        </w:tc>
      </w:tr>
      <w:tr>
        <w:trPr/>
        <w:tc>
          <w:tcPr>
            <w:tcW w:w="9562" w:type="dxa"/>
            <w:tcBorders/>
          </w:tcPr>
          <w:p>
            <w:pPr>
              <w:pStyle w:val="TableContents"/>
              <w:bidi w:val="0"/>
              <w:spacing w:before="0" w:after="0"/>
              <w:jc w:val="left"/>
              <w:rPr/>
            </w:pPr>
            <w:hyperlink w:anchor="toc674951_40a1">
              <w:r>
                <w:rPr>
                  <w:rStyle w:val="InternetLink"/>
                  <w:rFonts w:ascii="Times New Roman" w:hAnsi="Times New Roman"/>
                  <w:b/>
                  <w:color w:val="124A8D"/>
                  <w:sz w:val="22"/>
                </w:rPr>
                <w:t xml:space="preserve">PREFERRED STOCK CONVERSION AND ISSUANCE </w:t>
              </w:r>
            </w:hyperlink>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color w:val="305494"/>
              </w:rPr>
            </w:pPr>
            <w:r>
              <w:rPr>
                <w:color w:val="305494"/>
              </w:rPr>
              <w:t> </w:t>
            </w:r>
          </w:p>
        </w:tc>
        <w:tc>
          <w:tcPr>
            <w:tcW w:w="265" w:type="dxa"/>
            <w:tcBorders/>
            <w:vAlign w:val="bottom"/>
          </w:tcPr>
          <w:p>
            <w:pPr>
              <w:pStyle w:val="TableContents"/>
              <w:bidi w:val="0"/>
              <w:spacing w:before="0" w:after="283"/>
              <w:jc w:val="right"/>
              <w:rPr>
                <w:b/>
                <w:color w:val="305494"/>
              </w:rPr>
            </w:pPr>
            <w:r>
              <w:rPr>
                <w:b/>
                <w:color w:val="305494"/>
              </w:rPr>
              <w:t>41</w:t>
            </w:r>
          </w:p>
        </w:tc>
        <w:tc>
          <w:tcPr>
            <w:tcW w:w="62" w:type="dxa"/>
            <w:tcBorders/>
            <w:vAlign w:val="bottom"/>
          </w:tcPr>
          <w:p>
            <w:pPr>
              <w:pStyle w:val="TableContents"/>
              <w:bidi w:val="0"/>
              <w:spacing w:before="0" w:after="283"/>
              <w:jc w:val="left"/>
              <w:rPr>
                <w:color w:val="305494"/>
              </w:rPr>
            </w:pPr>
            <w:r>
              <w:rPr>
                <w:color w:val="305494"/>
              </w:rPr>
              <w:t> </w:t>
            </w:r>
          </w:p>
        </w:tc>
      </w:tr>
      <w:tr>
        <w:trPr>
          <w:trHeight w:val="60" w:hRule="atLeast"/>
        </w:trPr>
        <w:tc>
          <w:tcPr>
            <w:tcW w:w="9562" w:type="dxa"/>
            <w:tcBorders/>
            <w:vAlign w:val="center"/>
          </w:tcPr>
          <w:p>
            <w:pPr>
              <w:pStyle w:val="TableContents"/>
              <w:bidi w:val="0"/>
              <w:spacing w:before="0" w:after="283"/>
              <w:jc w:val="left"/>
              <w:rPr>
                <w:sz w:val="4"/>
                <w:szCs w:val="4"/>
              </w:rPr>
            </w:pPr>
            <w:r>
              <w:rPr>
                <w:sz w:val="4"/>
                <w:szCs w:val="4"/>
              </w:rPr>
            </w:r>
          </w:p>
        </w:tc>
        <w:tc>
          <w:tcPr>
            <w:tcW w:w="643" w:type="dxa"/>
            <w:gridSpan w:val="4"/>
            <w:tcBorders/>
            <w:vAlign w:val="center"/>
          </w:tcPr>
          <w:p>
            <w:pPr>
              <w:pStyle w:val="TableContents"/>
              <w:bidi w:val="0"/>
              <w:spacing w:before="0" w:after="283"/>
              <w:jc w:val="left"/>
              <w:rPr>
                <w:sz w:val="4"/>
                <w:szCs w:val="4"/>
              </w:rPr>
            </w:pPr>
            <w:r>
              <w:rPr>
                <w:sz w:val="4"/>
                <w:szCs w:val="4"/>
              </w:rPr>
            </w:r>
          </w:p>
        </w:tc>
      </w:tr>
      <w:tr>
        <w:trPr/>
        <w:tc>
          <w:tcPr>
            <w:tcW w:w="9562" w:type="dxa"/>
            <w:tcBorders/>
          </w:tcPr>
          <w:p>
            <w:pPr>
              <w:pStyle w:val="TableContents"/>
              <w:bidi w:val="0"/>
              <w:spacing w:before="0" w:after="0"/>
              <w:jc w:val="left"/>
              <w:rPr/>
            </w:pPr>
            <w:hyperlink w:anchor="toc674951_41">
              <w:r>
                <w:rPr>
                  <w:rStyle w:val="InternetLink"/>
                  <w:rFonts w:ascii="Times New Roman" w:hAnsi="Times New Roman"/>
                  <w:sz w:val="22"/>
                </w:rPr>
                <w:t xml:space="preserve">Proposal Three: Approval of Series A Preferred Stock Conversion into Common Stock </w:t>
              </w:r>
            </w:hyperlink>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rHeight w:val="60" w:hRule="atLeast"/>
        </w:trPr>
        <w:tc>
          <w:tcPr>
            <w:tcW w:w="9562" w:type="dxa"/>
            <w:tcBorders/>
            <w:vAlign w:val="center"/>
          </w:tcPr>
          <w:p>
            <w:pPr>
              <w:pStyle w:val="TableContents"/>
              <w:bidi w:val="0"/>
              <w:spacing w:before="0" w:after="283"/>
              <w:jc w:val="left"/>
              <w:rPr>
                <w:sz w:val="4"/>
                <w:szCs w:val="4"/>
              </w:rPr>
            </w:pPr>
            <w:r>
              <w:rPr>
                <w:sz w:val="4"/>
                <w:szCs w:val="4"/>
              </w:rPr>
            </w:r>
          </w:p>
        </w:tc>
        <w:tc>
          <w:tcPr>
            <w:tcW w:w="643" w:type="dxa"/>
            <w:gridSpan w:val="4"/>
            <w:tcBorders/>
            <w:vAlign w:val="center"/>
          </w:tcPr>
          <w:p>
            <w:pPr>
              <w:pStyle w:val="TableContents"/>
              <w:bidi w:val="0"/>
              <w:spacing w:before="0" w:after="283"/>
              <w:jc w:val="left"/>
              <w:rPr>
                <w:sz w:val="4"/>
                <w:szCs w:val="4"/>
              </w:rPr>
            </w:pPr>
            <w:r>
              <w:rPr>
                <w:sz w:val="4"/>
                <w:szCs w:val="4"/>
              </w:rPr>
            </w:r>
          </w:p>
        </w:tc>
      </w:tr>
      <w:tr>
        <w:trPr/>
        <w:tc>
          <w:tcPr>
            <w:tcW w:w="9562" w:type="dxa"/>
            <w:tcBorders/>
          </w:tcPr>
          <w:p>
            <w:pPr>
              <w:pStyle w:val="TableContents"/>
              <w:bidi w:val="0"/>
              <w:spacing w:before="0" w:after="0"/>
              <w:jc w:val="left"/>
              <w:rPr/>
            </w:pPr>
            <w:hyperlink w:anchor="toc674951_42">
              <w:r>
                <w:rPr>
                  <w:rStyle w:val="InternetLink"/>
                  <w:rFonts w:ascii="Times New Roman" w:hAnsi="Times New Roman"/>
                  <w:sz w:val="22"/>
                </w:rPr>
                <w:t>Proposal Four: Approval of Issuance of Series A Preferred Stock to Certain Directors and Officers and Conversion into Common Stock Thereof</w:t>
              </w:r>
            </w:hyperlink>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rHeight w:val="60" w:hRule="atLeast"/>
        </w:trPr>
        <w:tc>
          <w:tcPr>
            <w:tcW w:w="9562" w:type="dxa"/>
            <w:tcBorders/>
            <w:vAlign w:val="center"/>
          </w:tcPr>
          <w:p>
            <w:pPr>
              <w:pStyle w:val="TableContents"/>
              <w:bidi w:val="0"/>
              <w:spacing w:before="0" w:after="283"/>
              <w:jc w:val="left"/>
              <w:rPr>
                <w:sz w:val="4"/>
                <w:szCs w:val="4"/>
              </w:rPr>
            </w:pPr>
            <w:r>
              <w:rPr>
                <w:sz w:val="4"/>
                <w:szCs w:val="4"/>
              </w:rPr>
            </w:r>
          </w:p>
        </w:tc>
        <w:tc>
          <w:tcPr>
            <w:tcW w:w="643" w:type="dxa"/>
            <w:gridSpan w:val="4"/>
            <w:tcBorders/>
            <w:vAlign w:val="center"/>
          </w:tcPr>
          <w:p>
            <w:pPr>
              <w:pStyle w:val="TableContents"/>
              <w:bidi w:val="0"/>
              <w:spacing w:before="0" w:after="283"/>
              <w:jc w:val="left"/>
              <w:rPr>
                <w:sz w:val="4"/>
                <w:szCs w:val="4"/>
              </w:rPr>
            </w:pPr>
            <w:r>
              <w:rPr>
                <w:sz w:val="4"/>
                <w:szCs w:val="4"/>
              </w:rPr>
            </w:r>
          </w:p>
        </w:tc>
      </w:tr>
      <w:tr>
        <w:trPr/>
        <w:tc>
          <w:tcPr>
            <w:tcW w:w="9562" w:type="dxa"/>
            <w:tcBorders/>
          </w:tcPr>
          <w:p>
            <w:pPr>
              <w:pStyle w:val="TableContents"/>
              <w:bidi w:val="0"/>
              <w:spacing w:before="0" w:after="0"/>
              <w:jc w:val="left"/>
              <w:rPr/>
            </w:pPr>
            <w:hyperlink w:anchor="toc674951_43">
              <w:r>
                <w:rPr>
                  <w:rStyle w:val="InternetLink"/>
                  <w:rFonts w:ascii="Times New Roman" w:hAnsi="Times New Roman"/>
                  <w:b/>
                  <w:color w:val="124A8D"/>
                  <w:sz w:val="22"/>
                </w:rPr>
                <w:t xml:space="preserve">ADDITIONAL INFORMATION </w:t>
              </w:r>
            </w:hyperlink>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color w:val="305494"/>
              </w:rPr>
            </w:pPr>
            <w:r>
              <w:rPr>
                <w:color w:val="305494"/>
              </w:rPr>
              <w:t> </w:t>
            </w:r>
          </w:p>
        </w:tc>
        <w:tc>
          <w:tcPr>
            <w:tcW w:w="265" w:type="dxa"/>
            <w:tcBorders/>
            <w:vAlign w:val="bottom"/>
          </w:tcPr>
          <w:p>
            <w:pPr>
              <w:pStyle w:val="TableContents"/>
              <w:bidi w:val="0"/>
              <w:spacing w:before="0" w:after="283"/>
              <w:jc w:val="right"/>
              <w:rPr>
                <w:b/>
                <w:color w:val="305494"/>
              </w:rPr>
            </w:pPr>
            <w:r>
              <w:rPr>
                <w:b/>
                <w:color w:val="305494"/>
              </w:rPr>
              <w:t>44</w:t>
            </w:r>
          </w:p>
        </w:tc>
        <w:tc>
          <w:tcPr>
            <w:tcW w:w="62" w:type="dxa"/>
            <w:tcBorders/>
            <w:vAlign w:val="bottom"/>
          </w:tcPr>
          <w:p>
            <w:pPr>
              <w:pStyle w:val="TableContents"/>
              <w:bidi w:val="0"/>
              <w:spacing w:before="0" w:after="283"/>
              <w:jc w:val="left"/>
              <w:rPr>
                <w:color w:val="305494"/>
              </w:rPr>
            </w:pPr>
            <w:r>
              <w:rPr>
                <w:color w:val="305494"/>
              </w:rPr>
              <w:t> </w:t>
            </w:r>
          </w:p>
        </w:tc>
      </w:tr>
      <w:tr>
        <w:trPr>
          <w:trHeight w:val="60" w:hRule="atLeast"/>
        </w:trPr>
        <w:tc>
          <w:tcPr>
            <w:tcW w:w="9562" w:type="dxa"/>
            <w:tcBorders/>
            <w:vAlign w:val="center"/>
          </w:tcPr>
          <w:p>
            <w:pPr>
              <w:pStyle w:val="TableContents"/>
              <w:bidi w:val="0"/>
              <w:spacing w:before="0" w:after="283"/>
              <w:jc w:val="left"/>
              <w:rPr>
                <w:sz w:val="4"/>
                <w:szCs w:val="4"/>
              </w:rPr>
            </w:pPr>
            <w:r>
              <w:rPr>
                <w:sz w:val="4"/>
                <w:szCs w:val="4"/>
              </w:rPr>
            </w:r>
          </w:p>
        </w:tc>
        <w:tc>
          <w:tcPr>
            <w:tcW w:w="643" w:type="dxa"/>
            <w:gridSpan w:val="4"/>
            <w:tcBorders/>
            <w:vAlign w:val="center"/>
          </w:tcPr>
          <w:p>
            <w:pPr>
              <w:pStyle w:val="TableContents"/>
              <w:bidi w:val="0"/>
              <w:spacing w:before="0" w:after="283"/>
              <w:jc w:val="left"/>
              <w:rPr>
                <w:sz w:val="4"/>
                <w:szCs w:val="4"/>
              </w:rPr>
            </w:pPr>
            <w:r>
              <w:rPr>
                <w:sz w:val="4"/>
                <w:szCs w:val="4"/>
              </w:rPr>
            </w:r>
          </w:p>
        </w:tc>
      </w:tr>
      <w:tr>
        <w:trPr/>
        <w:tc>
          <w:tcPr>
            <w:tcW w:w="9562" w:type="dxa"/>
            <w:tcBorders/>
          </w:tcPr>
          <w:p>
            <w:pPr>
              <w:pStyle w:val="TableContents"/>
              <w:bidi w:val="0"/>
              <w:spacing w:before="0" w:after="0"/>
              <w:jc w:val="left"/>
              <w:rPr/>
            </w:pPr>
            <w:hyperlink w:anchor="toc674951_44">
              <w:r>
                <w:rPr>
                  <w:rStyle w:val="InternetLink"/>
                  <w:rFonts w:ascii="Times New Roman" w:hAnsi="Times New Roman"/>
                  <w:sz w:val="22"/>
                </w:rPr>
                <w:t>Other Matters</w:t>
              </w:r>
            </w:hyperlink>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rHeight w:val="60" w:hRule="atLeast"/>
        </w:trPr>
        <w:tc>
          <w:tcPr>
            <w:tcW w:w="9562" w:type="dxa"/>
            <w:tcBorders/>
            <w:vAlign w:val="center"/>
          </w:tcPr>
          <w:p>
            <w:pPr>
              <w:pStyle w:val="TableContents"/>
              <w:bidi w:val="0"/>
              <w:spacing w:before="0" w:after="283"/>
              <w:jc w:val="left"/>
              <w:rPr>
                <w:sz w:val="4"/>
                <w:szCs w:val="4"/>
              </w:rPr>
            </w:pPr>
            <w:r>
              <w:rPr>
                <w:sz w:val="4"/>
                <w:szCs w:val="4"/>
              </w:rPr>
            </w:r>
          </w:p>
        </w:tc>
        <w:tc>
          <w:tcPr>
            <w:tcW w:w="643" w:type="dxa"/>
            <w:gridSpan w:val="4"/>
            <w:tcBorders/>
            <w:vAlign w:val="center"/>
          </w:tcPr>
          <w:p>
            <w:pPr>
              <w:pStyle w:val="TableContents"/>
              <w:bidi w:val="0"/>
              <w:spacing w:before="0" w:after="283"/>
              <w:jc w:val="left"/>
              <w:rPr>
                <w:sz w:val="4"/>
                <w:szCs w:val="4"/>
              </w:rPr>
            </w:pPr>
            <w:r>
              <w:rPr>
                <w:sz w:val="4"/>
                <w:szCs w:val="4"/>
              </w:rPr>
            </w:r>
          </w:p>
        </w:tc>
      </w:tr>
      <w:tr>
        <w:trPr/>
        <w:tc>
          <w:tcPr>
            <w:tcW w:w="9562" w:type="dxa"/>
            <w:tcBorders/>
          </w:tcPr>
          <w:p>
            <w:pPr>
              <w:pStyle w:val="TableContents"/>
              <w:bidi w:val="0"/>
              <w:spacing w:before="0" w:after="0"/>
              <w:jc w:val="left"/>
              <w:rPr/>
            </w:pPr>
            <w:hyperlink w:anchor="toc674951_45">
              <w:r>
                <w:rPr>
                  <w:rStyle w:val="InternetLink"/>
                  <w:rFonts w:ascii="Times New Roman" w:hAnsi="Times New Roman"/>
                  <w:sz w:val="22"/>
                </w:rPr>
                <w:t>Stockholder Proposals and Nominations for Next Years Annual Meeting of Stockholders</w:t>
              </w:r>
            </w:hyperlink>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rHeight w:val="60" w:hRule="atLeast"/>
        </w:trPr>
        <w:tc>
          <w:tcPr>
            <w:tcW w:w="9562" w:type="dxa"/>
            <w:tcBorders/>
            <w:vAlign w:val="center"/>
          </w:tcPr>
          <w:p>
            <w:pPr>
              <w:pStyle w:val="TableContents"/>
              <w:bidi w:val="0"/>
              <w:spacing w:before="0" w:after="283"/>
              <w:jc w:val="left"/>
              <w:rPr>
                <w:sz w:val="4"/>
                <w:szCs w:val="4"/>
              </w:rPr>
            </w:pPr>
            <w:r>
              <w:rPr>
                <w:sz w:val="4"/>
                <w:szCs w:val="4"/>
              </w:rPr>
            </w:r>
          </w:p>
        </w:tc>
        <w:tc>
          <w:tcPr>
            <w:tcW w:w="643" w:type="dxa"/>
            <w:gridSpan w:val="4"/>
            <w:tcBorders/>
            <w:vAlign w:val="center"/>
          </w:tcPr>
          <w:p>
            <w:pPr>
              <w:pStyle w:val="TableContents"/>
              <w:bidi w:val="0"/>
              <w:spacing w:before="0" w:after="283"/>
              <w:jc w:val="left"/>
              <w:rPr>
                <w:sz w:val="4"/>
                <w:szCs w:val="4"/>
              </w:rPr>
            </w:pPr>
            <w:r>
              <w:rPr>
                <w:sz w:val="4"/>
                <w:szCs w:val="4"/>
              </w:rPr>
            </w:r>
          </w:p>
        </w:tc>
      </w:tr>
      <w:tr>
        <w:trPr/>
        <w:tc>
          <w:tcPr>
            <w:tcW w:w="9562" w:type="dxa"/>
            <w:tcBorders/>
          </w:tcPr>
          <w:p>
            <w:pPr>
              <w:pStyle w:val="TableContents"/>
              <w:bidi w:val="0"/>
              <w:spacing w:before="0" w:after="0"/>
              <w:jc w:val="left"/>
              <w:rPr/>
            </w:pPr>
            <w:hyperlink w:anchor="toc674951_46">
              <w:r>
                <w:rPr>
                  <w:rStyle w:val="InternetLink"/>
                  <w:rFonts w:ascii="Times New Roman" w:hAnsi="Times New Roman"/>
                  <w:sz w:val="22"/>
                </w:rPr>
                <w:t xml:space="preserve">Availability of Annual Report on Form 10-K </w:t>
              </w:r>
            </w:hyperlink>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231140" cy="393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1140" cy="393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color w:val="305494"/>
          <w:sz w:val="56"/>
        </w:rPr>
      </w:pPr>
      <w:r>
        <w:rPr>
          <w:rFonts w:ascii="Times New Roman" w:hAnsi="Times New Roman"/>
          <w:color w:val="305494"/>
          <w:sz w:val="56"/>
        </w:rPr>
        <w:t xml:space="preserve">Proxy Statement </w:t>
      </w:r>
    </w:p>
    <w:p>
      <w:pPr>
        <w:pStyle w:val="TextBody"/>
        <w:bidi w:val="0"/>
        <w:spacing w:before="40" w:after="0"/>
        <w:jc w:val="center"/>
        <w:rPr>
          <w:rFonts w:ascii="Times New Roman" w:hAnsi="Times New Roman"/>
          <w:sz w:val="20"/>
        </w:rPr>
      </w:pPr>
      <w:r>
        <w:rPr>
          <w:rFonts w:ascii="Times New Roman" w:hAnsi="Times New Roman"/>
          <w:sz w:val="20"/>
        </w:rPr>
        <w:t xml:space="preserve">2024 Annual Meeting of Stockholders </w:t>
      </w:r>
    </w:p>
    <w:p>
      <w:pPr>
        <w:pStyle w:val="TextBody"/>
        <w:bidi w:val="0"/>
        <w:spacing w:before="0" w:after="0"/>
        <w:jc w:val="center"/>
        <w:rPr>
          <w:rFonts w:ascii="Times New Roman" w:hAnsi="Times New Roman"/>
          <w:sz w:val="20"/>
        </w:rPr>
      </w:pPr>
      <w:r>
        <w:rPr>
          <w:rFonts w:ascii="Times New Roman" w:hAnsi="Times New Roman"/>
          <w:sz w:val="20"/>
        </w:rPr>
        <w:t xml:space="preserve">May 21, 2024 </w:t>
      </w:r>
    </w:p>
    <w:p>
      <w:pPr>
        <w:pStyle w:val="TextBody"/>
        <w:bidi w:val="0"/>
        <w:spacing w:before="240" w:after="0"/>
        <w:jc w:val="center"/>
        <w:rPr>
          <w:rFonts w:ascii="Times New Roman" w:hAnsi="Times New Roman"/>
          <w:b/>
          <w:color w:val="305494"/>
          <w:sz w:val="32"/>
        </w:rPr>
      </w:pPr>
      <w:bookmarkStart w:id="3" w:name="toc674951_1"/>
      <w:bookmarkEnd w:id="3"/>
      <w:r>
        <w:rPr>
          <w:rFonts w:ascii="Times New Roman" w:hAnsi="Times New Roman"/>
          <w:b/>
          <w:color w:val="305494"/>
          <w:sz w:val="32"/>
        </w:rPr>
        <w:t xml:space="preserve">ANNUAL MEETING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soliciting your proxy for the 2024 Annual Meeting of Stockholders (the Annual Meeting) of Biodesix, Inc. (Biodesix, the Company, we, us or our) and at any adjournment, continuation or postponement of the meeting for the purposes described in this proxy statement and the accompanying Notice of 2024 Annual Meeting of Stockholders. The Annual Meeting will take place virtually on May 21, 2024 at 1:00 p.m. Mountain Time. You must register to attend the meeting online and/or participate at </w:t>
      </w:r>
      <w:r>
        <w:rPr>
          <w:rFonts w:ascii="Times New Roman" w:hAnsi="Times New Roman"/>
          <w:color w:val="2E65AF"/>
          <w:sz w:val="20"/>
          <w:u w:val="single"/>
        </w:rPr>
        <w:t>www.proxydocs.com/BDSX</w:t>
      </w:r>
      <w:r>
        <w:rPr>
          <w:rFonts w:ascii="Times New Roman" w:hAnsi="Times New Roman"/>
          <w:sz w:val="20"/>
        </w:rPr>
        <w:t xml:space="preserve"> using the control number on your proxy card or notice. You will receive an email one hour prior to the meeting containing a link which will connect you to the meeting portal. If you held shares of our common stock as of the close of business on March 25, 2024, you will be able to vote on the proposals described in this proxy statement and submit questions online through the virtual meeting platform during the Annual Meeting. On or about April 26, 2024, we will be mailing a copy of our Annual Report on Form 10-K for the year ended December 31, 2023 (the 2023 Annual Report), this Proxy Statement and the proxy card (together, the Proxy Materials). The documents will be available at </w:t>
      </w:r>
      <w:r>
        <w:rPr>
          <w:rFonts w:ascii="Times New Roman" w:hAnsi="Times New Roman"/>
          <w:color w:val="2E65AF"/>
          <w:sz w:val="20"/>
          <w:u w:val="single"/>
        </w:rPr>
        <w:t>www.proxydocs.com/BDSX</w:t>
      </w:r>
      <w:r>
        <w:rPr>
          <w:rFonts w:ascii="Times New Roman" w:hAnsi="Times New Roman"/>
          <w:sz w:val="20"/>
        </w:rPr>
        <w:t xml:space="preserve">. The proxy card will also include information on how to vote online or by telephone or by returning your proxy card by mail.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Who can vote? </w:t>
      </w:r>
    </w:p>
    <w:p>
      <w:pPr>
        <w:pStyle w:val="TextBody"/>
        <w:bidi w:val="0"/>
        <w:spacing w:before="240" w:after="0"/>
        <w:jc w:val="left"/>
        <w:rPr>
          <w:rFonts w:ascii="Times New Roman" w:hAnsi="Times New Roman"/>
          <w:sz w:val="20"/>
        </w:rPr>
      </w:pPr>
      <w:r>
        <w:rPr>
          <w:rFonts w:ascii="Times New Roman" w:hAnsi="Times New Roman"/>
          <w:sz w:val="20"/>
        </w:rPr>
        <w:t xml:space="preserve">If you were a stockholder of record as of the close of business on March 25, 2024 (the record date), you are entitled to vote your shares at the Annual Meeting. As of the record date, 97,159,448 shares of our common stock were issued and outstanding. Each share of our common stock is entitled to one vote on each matter properly brought before to the meeting.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What am I voting on? </w:t>
      </w:r>
    </w:p>
    <w:p>
      <w:pPr>
        <w:pStyle w:val="TextBody"/>
        <w:bidi w:val="0"/>
        <w:spacing w:before="240" w:after="0"/>
        <w:jc w:val="left"/>
        <w:rPr>
          <w:rFonts w:ascii="Times New Roman" w:hAnsi="Times New Roman"/>
          <w:sz w:val="20"/>
        </w:rPr>
      </w:pPr>
      <w:r>
        <w:rPr>
          <w:rFonts w:ascii="Times New Roman" w:hAnsi="Times New Roman"/>
          <w:sz w:val="20"/>
        </w:rPr>
        <w:t xml:space="preserve">You are being asked to vote on four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509"/>
        <w:gridCol w:w="9188"/>
      </w:tblGrid>
      <w:tr>
        <w:trPr/>
        <w:tc>
          <w:tcPr>
            <w:tcW w:w="5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color w:val="305494"/>
              </w:rPr>
            </w:pPr>
            <w:r>
              <w:rPr>
                <w:color w:val="305494"/>
              </w:rPr>
              <w:t>●</w:t>
            </w:r>
          </w:p>
        </w:tc>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One: To elect the three Class I directors named in this proxy statement to hold office until the 2027 annual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509"/>
        <w:gridCol w:w="9188"/>
      </w:tblGrid>
      <w:tr>
        <w:trPr/>
        <w:tc>
          <w:tcPr>
            <w:tcW w:w="5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color w:val="305494"/>
              </w:rPr>
            </w:pPr>
            <w:r>
              <w:rPr>
                <w:color w:val="305494"/>
              </w:rPr>
              <w:t>●</w:t>
            </w:r>
          </w:p>
        </w:tc>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Two: To ratify the appointment of KPMG LLP as our independent registered public accounting firm for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510"/>
        <w:gridCol w:w="9186"/>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color w:val="305494"/>
              </w:rPr>
            </w:pPr>
            <w:r>
              <w:rPr>
                <w:color w:val="305494"/>
              </w:rPr>
              <w:t>●</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Three: To approve of the conversion of the Series A Preferred Stock into shares of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510"/>
        <w:gridCol w:w="9186"/>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color w:val="305494"/>
              </w:rPr>
            </w:pPr>
            <w:r>
              <w:rPr>
                <w:color w:val="305494"/>
              </w:rPr>
              <w:t>●</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Four: To approve of the issuance of shares of Series A Preferred Stock to certain of the Companys directors and officers and any shares of the Companys Common Stock issuable upon the conversion thereof.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rFonts w:ascii="arial" w:hAnsi="arial"/>
                <w:b/>
                <w:color w:val="305494"/>
                <w:sz w:val="16"/>
              </w:rPr>
            </w:pPr>
            <w:r>
              <w:rPr>
                <w:rFonts w:ascii="arial" w:hAnsi="arial"/>
                <w:b/>
                <w:color w:val="305494"/>
                <w:sz w:val="16"/>
              </w:rPr>
              <w:t>1</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color w:val="305494"/>
          <w:sz w:val="20"/>
        </w:rPr>
      </w:pPr>
      <w:r>
        <w:rPr>
          <w:rFonts w:ascii="Times New Roman" w:hAnsi="Times New Roman"/>
          <w:b/>
          <w:color w:val="305494"/>
          <w:sz w:val="20"/>
        </w:rPr>
        <w:t xml:space="preserve">How does the board of directors recommend that I vote on each proposal?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recommends that our stockholders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408"/>
        <w:gridCol w:w="9085"/>
      </w:tblGrid>
      <w:tr>
        <w:trPr/>
        <w:tc>
          <w:tcPr>
            <w:tcW w:w="712"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color w:val="305494"/>
              </w:rPr>
            </w:pPr>
            <w:r>
              <w:rPr>
                <w:color w:val="305494"/>
              </w:rPr>
              <w:t>●</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rPr>
              <w:t>For</w:t>
            </w:r>
            <w:r>
              <w:rPr>
                <w:rFonts w:ascii="Times New Roman" w:hAnsi="Times New Roman"/>
                <w:sz w:val="20"/>
              </w:rPr>
              <w:t xml:space="preserve"> the election of the three Class I directors named in this proxy statement to hold office until the 2027 annual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408"/>
        <w:gridCol w:w="9085"/>
      </w:tblGrid>
      <w:tr>
        <w:trPr/>
        <w:tc>
          <w:tcPr>
            <w:tcW w:w="712"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color w:val="305494"/>
              </w:rPr>
            </w:pPr>
            <w:r>
              <w:rPr>
                <w:color w:val="305494"/>
              </w:rPr>
              <w:t>●</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b/>
                <w:sz w:val="20"/>
              </w:rPr>
              <w:t>For</w:t>
            </w:r>
            <w:r>
              <w:rPr>
                <w:rFonts w:ascii="Times New Roman" w:hAnsi="Times New Roman"/>
                <w:sz w:val="20"/>
              </w:rPr>
              <w:t xml:space="preserve"> the ratification of the appointment of KPMG LLP as our independent registered public accounting firm for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407"/>
        <w:gridCol w:w="9084"/>
      </w:tblGrid>
      <w:tr>
        <w:trPr/>
        <w:tc>
          <w:tcPr>
            <w:tcW w:w="71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color w:val="305494"/>
              </w:rPr>
            </w:pPr>
            <w:r>
              <w:rPr>
                <w:color w:val="305494"/>
              </w:rPr>
              <w:t>●</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For </w:t>
            </w:r>
            <w:r>
              <w:rPr>
                <w:rFonts w:ascii="Times New Roman" w:hAnsi="Times New Roman"/>
                <w:sz w:val="20"/>
              </w:rPr>
              <w:t xml:space="preserve">the approval of the conversion of the Series A Preferred Stock into shares of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407"/>
        <w:gridCol w:w="9084"/>
      </w:tblGrid>
      <w:tr>
        <w:trPr/>
        <w:tc>
          <w:tcPr>
            <w:tcW w:w="71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color w:val="305494"/>
              </w:rPr>
            </w:pPr>
            <w:r>
              <w:rPr>
                <w:color w:val="305494"/>
              </w:rPr>
              <w:t>●</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For </w:t>
            </w:r>
            <w:r>
              <w:rPr>
                <w:rFonts w:ascii="Times New Roman" w:hAnsi="Times New Roman"/>
                <w:sz w:val="20"/>
              </w:rPr>
              <w:t xml:space="preserve">the approval of the issuance of shares of Series A Preferred Stock to certain of the Companys directors and officers and any shares of the Companys Common Stock issuable upon the conversion thereof. </w:t>
            </w:r>
          </w:p>
        </w:tc>
      </w:tr>
    </w:tbl>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What if another matter is properly brought before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is not aware of any other matters that will be presented for consideration at the Annual Meeting. However, if any other matters are properly brought before the Annual Meeting, the persons named in the accompanying proxy intend to vote on those matters in accordance with their best judgment.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How do I vote? </w:t>
      </w:r>
    </w:p>
    <w:p>
      <w:pPr>
        <w:pStyle w:val="TextBody"/>
        <w:bidi w:val="0"/>
        <w:spacing w:before="120" w:after="0"/>
        <w:jc w:val="left"/>
        <w:rPr>
          <w:rFonts w:ascii="Times New Roman" w:hAnsi="Times New Roman"/>
          <w:sz w:val="20"/>
        </w:rPr>
      </w:pPr>
      <w:r>
        <w:rPr>
          <w:rFonts w:ascii="Times New Roman" w:hAnsi="Times New Roman"/>
          <w:sz w:val="20"/>
        </w:rPr>
        <w:t xml:space="preserve">The procedures for voting depend on whether your shares are registered in your name or are held by a bank, broker or other nominee. You may also vote your shares electronically during a designated portion of the virtual Annual Meeting after your successful registration at www.proxydocs.com/BDSX. Whether or not you plan to attend the Annual Meeting, we encourage you to vote and submit your proxy in advance of the meeting by one of the methods described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9494"/>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color w:val="305494"/>
              </w:rPr>
            </w:pPr>
            <w:r>
              <w:rPr>
                <w:color w:val="305494"/>
              </w:rPr>
              <w:t>●</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b/>
                <w:sz w:val="20"/>
              </w:rPr>
              <w:t>Stockholders of Record: Shares Registered in Your Name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u w:val="single"/>
        </w:rPr>
        <w:t>Vote by Proxy in Advance of the Annual Meeting</w:t>
      </w:r>
      <w:r>
        <w:rPr>
          <w:rFonts w:ascii="Times New Roman" w:hAnsi="Times New Roman"/>
          <w:sz w:val="20"/>
        </w:rPr>
        <w:t xml:space="preserve">: If, on the record date, your shares were registered directly in your name with Biodesixs transfer agent, Computershare Trust Company, N.A., then you are a stockholder of record. As a stockholder of record, you may vote by proxy in advance of the Annual Meeting in three ways: </w:t>
      </w:r>
    </w:p>
    <w:p>
      <w:pPr>
        <w:pStyle w:val="TextBody"/>
        <w:bidi w:val="0"/>
        <w:spacing w:before="0" w:after="0"/>
        <w:jc w:val="left"/>
        <w:rPr/>
      </w:pPr>
      <w:r>
        <w:rPr/>
        <w:t> </w:t>
      </w:r>
    </w:p>
    <w:tbl>
      <w:tblPr>
        <w:tblW w:w="4550" w:type="pct"/>
        <w:jc w:val="right"/>
        <w:tblInd w:w="0" w:type="dxa"/>
        <w:tblLayout w:type="fixed"/>
        <w:tblCellMar>
          <w:top w:w="0" w:type="dxa"/>
          <w:left w:w="0" w:type="dxa"/>
          <w:bottom w:w="0" w:type="dxa"/>
          <w:right w:w="0" w:type="dxa"/>
        </w:tblCellMar>
      </w:tblPr>
      <w:tblGrid>
        <w:gridCol w:w="3064"/>
        <w:gridCol w:w="93"/>
        <w:gridCol w:w="3064"/>
        <w:gridCol w:w="93"/>
        <w:gridCol w:w="2972"/>
      </w:tblGrid>
      <w:tr>
        <w:trPr/>
        <w:tc>
          <w:tcPr>
            <w:tcW w:w="3064"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064" w:type="dxa"/>
            <w:tcBorders>
              <w:top w:val="single" w:sz="8" w:space="0" w:color="305494"/>
              <w:left w:val="dotted" w:sz="8" w:space="0" w:color="305494"/>
              <w:right w:val="dotted" w:sz="8" w:space="0" w:color="305494"/>
            </w:tcBorders>
            <w:tcMar>
              <w:top w:w="28" w:type="dxa"/>
              <w:left w:w="160" w:type="dxa"/>
              <w:right w:w="28" w:type="dxa"/>
            </w:tcMar>
            <w:vAlign w:val="center"/>
          </w:tcPr>
          <w:p>
            <w:pPr>
              <w:pStyle w:val="TableContents"/>
              <w:bidi w:val="0"/>
              <w:spacing w:before="0" w:after="283"/>
              <w:jc w:val="left"/>
              <w:rPr/>
            </w:pPr>
            <w:r>
              <w:rPr/>
              <w:t> </w:t>
            </w:r>
          </w:p>
        </w:tc>
        <w:tc>
          <w:tcPr>
            <w:tcW w:w="3157" w:type="dxa"/>
            <w:gridSpan w:val="2"/>
            <w:tcBorders>
              <w:top w:val="dotted" w:sz="8" w:space="0" w:color="305494"/>
              <w:right w:val="dotted" w:sz="8" w:space="0" w:color="305494"/>
            </w:tcBorders>
            <w:tcMar>
              <w:top w:w="28" w:type="dxa"/>
              <w:right w:w="28" w:type="dxa"/>
            </w:tcMar>
            <w:vAlign w:val="center"/>
          </w:tcPr>
          <w:p>
            <w:pPr>
              <w:pStyle w:val="TableContents"/>
              <w:bidi w:val="0"/>
              <w:spacing w:before="0" w:after="283"/>
              <w:jc w:val="left"/>
              <w:rPr/>
            </w:pPr>
            <w:r>
              <w:rPr/>
              <w:t> </w:t>
            </w:r>
          </w:p>
        </w:tc>
        <w:tc>
          <w:tcPr>
            <w:tcW w:w="3065" w:type="dxa"/>
            <w:gridSpan w:val="2"/>
            <w:tcBorders>
              <w:top w:val="dotted" w:sz="8" w:space="0" w:color="305494"/>
              <w:right w:val="dotted" w:sz="8" w:space="0" w:color="305494"/>
            </w:tcBorders>
            <w:tcMar>
              <w:top w:w="28" w:type="dxa"/>
              <w:right w:w="28" w:type="dxa"/>
            </w:tcMar>
            <w:vAlign w:val="center"/>
          </w:tcPr>
          <w:p>
            <w:pPr>
              <w:pStyle w:val="TableContents"/>
              <w:bidi w:val="0"/>
              <w:spacing w:before="0" w:after="283"/>
              <w:jc w:val="left"/>
              <w:rPr/>
            </w:pPr>
            <w:r>
              <w:rPr/>
              <w:t> </w:t>
            </w:r>
          </w:p>
        </w:tc>
      </w:tr>
      <w:tr>
        <w:trPr/>
        <w:tc>
          <w:tcPr>
            <w:tcW w:w="3064" w:type="dxa"/>
            <w:tcBorders>
              <w:left w:val="dotted" w:sz="8" w:space="0" w:color="305494"/>
              <w:right w:val="dotted" w:sz="8" w:space="0" w:color="305494"/>
            </w:tcBorders>
            <w:tcMar>
              <w:left w:w="160" w:type="dxa"/>
              <w:right w:w="28" w:type="dxa"/>
            </w:tcMar>
            <w:vAlign w:val="center"/>
          </w:tcPr>
          <w:p>
            <w:pPr>
              <w:pStyle w:val="TableContents"/>
              <w:bidi w:val="0"/>
              <w:spacing w:before="0" w:after="283"/>
              <w:jc w:val="center"/>
              <w:rPr/>
            </w:pPr>
            <w:r>
              <w:rPr/>
              <w:drawing>
                <wp:inline distT="0" distB="0" distL="0" distR="0">
                  <wp:extent cx="66040" cy="76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6040" cy="76200"/>
                          </a:xfrm>
                          <a:prstGeom prst="rect">
                            <a:avLst/>
                          </a:prstGeom>
                        </pic:spPr>
                      </pic:pic>
                    </a:graphicData>
                  </a:graphic>
                </wp:inline>
              </w:drawing>
            </w:r>
            <w:r>
              <w:rPr/>
              <w:t xml:space="preserve"> </w:t>
            </w:r>
          </w:p>
        </w:tc>
        <w:tc>
          <w:tcPr>
            <w:tcW w:w="93" w:type="dxa"/>
            <w:tcBorders/>
            <w:vAlign w:val="bottom"/>
          </w:tcPr>
          <w:p>
            <w:pPr>
              <w:pStyle w:val="TableContents"/>
              <w:bidi w:val="0"/>
              <w:spacing w:before="0" w:after="283"/>
              <w:jc w:val="left"/>
              <w:rPr/>
            </w:pPr>
            <w:r>
              <w:rPr/>
              <w:t> </w:t>
            </w:r>
          </w:p>
        </w:tc>
        <w:tc>
          <w:tcPr>
            <w:tcW w:w="3064" w:type="dxa"/>
            <w:tcBorders>
              <w:right w:val="dotted" w:sz="8" w:space="0" w:color="305494"/>
            </w:tcBorders>
            <w:tcMar>
              <w:right w:w="28" w:type="dxa"/>
            </w:tcMar>
            <w:vAlign w:val="center"/>
          </w:tcPr>
          <w:p>
            <w:pPr>
              <w:pStyle w:val="TableContents"/>
              <w:bidi w:val="0"/>
              <w:spacing w:before="0" w:after="283"/>
              <w:jc w:val="center"/>
              <w:rPr/>
            </w:pPr>
            <w:r>
              <w:rPr/>
              <w:drawing>
                <wp:inline distT="0" distB="0" distL="0" distR="0">
                  <wp:extent cx="30480" cy="5524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0480" cy="55245"/>
                          </a:xfrm>
                          <a:prstGeom prst="rect">
                            <a:avLst/>
                          </a:prstGeom>
                        </pic:spPr>
                      </pic:pic>
                    </a:graphicData>
                  </a:graphic>
                </wp:inline>
              </w:drawing>
            </w:r>
            <w:r>
              <w:rPr/>
              <w:t xml:space="preserve"> </w:t>
            </w:r>
          </w:p>
        </w:tc>
        <w:tc>
          <w:tcPr>
            <w:tcW w:w="93" w:type="dxa"/>
            <w:tcBorders/>
            <w:vAlign w:val="bottom"/>
          </w:tcPr>
          <w:p>
            <w:pPr>
              <w:pStyle w:val="TableContents"/>
              <w:bidi w:val="0"/>
              <w:spacing w:before="0" w:after="283"/>
              <w:jc w:val="left"/>
              <w:rPr/>
            </w:pPr>
            <w:r>
              <w:rPr/>
              <w:t> </w:t>
            </w:r>
          </w:p>
        </w:tc>
        <w:tc>
          <w:tcPr>
            <w:tcW w:w="2972" w:type="dxa"/>
            <w:tcBorders>
              <w:right w:val="dotted" w:sz="8" w:space="0" w:color="305494"/>
            </w:tcBorders>
            <w:tcMar>
              <w:right w:w="40" w:type="dxa"/>
            </w:tcMar>
            <w:vAlign w:val="center"/>
          </w:tcPr>
          <w:p>
            <w:pPr>
              <w:pStyle w:val="TableContents"/>
              <w:bidi w:val="0"/>
              <w:spacing w:before="0" w:after="283"/>
              <w:jc w:val="center"/>
              <w:rPr/>
            </w:pPr>
            <w:r>
              <w:rPr/>
              <w:drawing>
                <wp:inline distT="0" distB="0" distL="0" distR="0">
                  <wp:extent cx="62230" cy="4191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2230" cy="41910"/>
                          </a:xfrm>
                          <a:prstGeom prst="rect">
                            <a:avLst/>
                          </a:prstGeom>
                        </pic:spPr>
                      </pic:pic>
                    </a:graphicData>
                  </a:graphic>
                </wp:inline>
              </w:drawing>
            </w:r>
            <w:r>
              <w:rPr/>
              <w:t xml:space="preserve"> </w:t>
            </w:r>
          </w:p>
        </w:tc>
      </w:tr>
      <w:tr>
        <w:trPr/>
        <w:tc>
          <w:tcPr>
            <w:tcW w:w="3064" w:type="dxa"/>
            <w:tcBorders>
              <w:left w:val="single" w:sz="8" w:space="0" w:color="305494"/>
              <w:bottom w:val="single" w:sz="8" w:space="0" w:color="305494"/>
              <w:right w:val="single" w:sz="8" w:space="0" w:color="305494"/>
            </w:tcBorders>
            <w:tcMar>
              <w:left w:w="160" w:type="dxa"/>
              <w:bottom w:w="120" w:type="dxa"/>
              <w:right w:w="28" w:type="dxa"/>
            </w:tcMar>
          </w:tcPr>
          <w:p>
            <w:pPr>
              <w:pStyle w:val="TableContents"/>
              <w:bidi w:val="0"/>
              <w:spacing w:before="0" w:after="0"/>
              <w:jc w:val="center"/>
              <w:rPr>
                <w:rFonts w:ascii="Times New Roman" w:hAnsi="Times New Roman"/>
                <w:b/>
                <w:sz w:val="20"/>
              </w:rPr>
            </w:pPr>
            <w:r>
              <w:rPr>
                <w:rFonts w:ascii="Times New Roman" w:hAnsi="Times New Roman"/>
                <w:b/>
                <w:sz w:val="20"/>
              </w:rPr>
              <w:t>Vote by Internet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Go to</w:t>
            </w:r>
          </w:p>
          <w:p>
            <w:pPr>
              <w:pStyle w:val="TableContents"/>
              <w:bidi w:val="0"/>
              <w:spacing w:before="0" w:after="20"/>
              <w:jc w:val="left"/>
              <w:rPr>
                <w:rFonts w:ascii="Times New Roman" w:hAnsi="Times New Roman"/>
                <w:sz w:val="20"/>
              </w:rPr>
            </w:pPr>
            <w:r>
              <w:rPr>
                <w:rFonts w:ascii="Times New Roman" w:hAnsi="Times New Roman"/>
                <w:sz w:val="20"/>
              </w:rPr>
              <w:t>http://www.proxypush.com/</w:t>
              <w:br/>
              <w:t>BDSX to complete an electronic</w:t>
              <w:br/>
              <w:t>proxy card. You will be asked to</w:t>
              <w:br/>
              <w:t>provide the Company number</w:t>
              <w:br/>
              <w:t>and control number from your</w:t>
              <w:br/>
              <w:t>proxy card. Your vote must be</w:t>
              <w:br/>
              <w:t>received prior to the meeting</w:t>
              <w:br/>
              <w:t>start time to be counted.</w:t>
            </w:r>
          </w:p>
        </w:tc>
        <w:tc>
          <w:tcPr>
            <w:tcW w:w="93" w:type="dxa"/>
            <w:tcBorders>
              <w:bottom w:val="dotted" w:sz="8" w:space="0" w:color="305494"/>
            </w:tcBorders>
            <w:tcMar>
              <w:bottom w:w="28" w:type="dxa"/>
            </w:tcMar>
            <w:vAlign w:val="bottom"/>
          </w:tcPr>
          <w:p>
            <w:pPr>
              <w:pStyle w:val="TableContents"/>
              <w:bidi w:val="0"/>
              <w:spacing w:before="0" w:after="283"/>
              <w:jc w:val="left"/>
              <w:rPr/>
            </w:pPr>
            <w:r>
              <w:rPr/>
              <w:t> </w:t>
            </w:r>
          </w:p>
        </w:tc>
        <w:tc>
          <w:tcPr>
            <w:tcW w:w="3064" w:type="dxa"/>
            <w:tcBorders>
              <w:bottom w:val="dotted" w:sz="8" w:space="0" w:color="305494"/>
              <w:right w:val="single" w:sz="8" w:space="0" w:color="305494"/>
            </w:tcBorders>
            <w:tcMar>
              <w:bottom w:w="120" w:type="dxa"/>
              <w:right w:w="28" w:type="dxa"/>
            </w:tcMar>
          </w:tcPr>
          <w:p>
            <w:pPr>
              <w:pStyle w:val="TableContents"/>
              <w:bidi w:val="0"/>
              <w:spacing w:before="0" w:after="0"/>
              <w:jc w:val="center"/>
              <w:rPr>
                <w:rFonts w:ascii="Times New Roman" w:hAnsi="Times New Roman"/>
                <w:b/>
                <w:sz w:val="20"/>
              </w:rPr>
            </w:pPr>
            <w:r>
              <w:rPr>
                <w:rFonts w:ascii="Times New Roman" w:hAnsi="Times New Roman"/>
                <w:b/>
                <w:sz w:val="20"/>
              </w:rPr>
              <w:t>Vote by telephone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Dial toll-free 1-866-291-6774</w:t>
              <w:br/>
              <w:t>using a touch-tone phone and</w:t>
              <w:br/>
              <w:t>follow the recorded instructions.</w:t>
              <w:br/>
              <w:t>You will be asked to provide the</w:t>
              <w:br/>
              <w:t>Company number and control</w:t>
              <w:br/>
              <w:t>number from your proxy card.</w:t>
              <w:br/>
              <w:t>Your vote must be received</w:t>
              <w:br/>
              <w:t>prior to the meeting start time to</w:t>
              <w:br/>
              <w:t>be counted.</w:t>
            </w:r>
          </w:p>
        </w:tc>
        <w:tc>
          <w:tcPr>
            <w:tcW w:w="93" w:type="dxa"/>
            <w:tcBorders>
              <w:bottom w:val="dotted" w:sz="8" w:space="0" w:color="305494"/>
            </w:tcBorders>
            <w:tcMar>
              <w:bottom w:w="28" w:type="dxa"/>
            </w:tcMar>
            <w:vAlign w:val="bottom"/>
          </w:tcPr>
          <w:p>
            <w:pPr>
              <w:pStyle w:val="TableContents"/>
              <w:bidi w:val="0"/>
              <w:spacing w:before="0" w:after="283"/>
              <w:jc w:val="left"/>
              <w:rPr/>
            </w:pPr>
            <w:r>
              <w:rPr/>
              <w:t> </w:t>
            </w:r>
          </w:p>
        </w:tc>
        <w:tc>
          <w:tcPr>
            <w:tcW w:w="2972" w:type="dxa"/>
            <w:tcBorders>
              <w:bottom w:val="dotted" w:sz="8" w:space="0" w:color="305494"/>
              <w:right w:val="single" w:sz="8" w:space="0" w:color="305494"/>
            </w:tcBorders>
            <w:tcMar>
              <w:bottom w:w="120" w:type="dxa"/>
              <w:right w:w="40" w:type="dxa"/>
            </w:tcMar>
          </w:tcPr>
          <w:p>
            <w:pPr>
              <w:pStyle w:val="TableContents"/>
              <w:bidi w:val="0"/>
              <w:spacing w:before="0" w:after="0"/>
              <w:jc w:val="center"/>
              <w:rPr>
                <w:rFonts w:ascii="Times New Roman" w:hAnsi="Times New Roman"/>
                <w:b/>
                <w:sz w:val="20"/>
              </w:rPr>
            </w:pPr>
            <w:r>
              <w:rPr>
                <w:rFonts w:ascii="Times New Roman" w:hAnsi="Times New Roman"/>
                <w:b/>
                <w:sz w:val="20"/>
              </w:rPr>
              <w:t>Vote by mail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Complete, sign and date the</w:t>
              <w:br/>
              <w:t>proxy card you received as part</w:t>
              <w:br/>
              <w:t>of the Proxy Materials, and</w:t>
              <w:br/>
              <w:t>return it promptly in the</w:t>
              <w:br/>
              <w:t>envelope provided. If your</w:t>
              <w:br/>
              <w:t>signed proxy card is received</w:t>
              <w:br/>
              <w:t>prior to the meeting date, we</w:t>
              <w:br/>
              <w:t>will vote your shares as you</w:t>
              <w:br/>
              <w:t>direct.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rFonts w:ascii="arial" w:hAnsi="arial"/>
                <w:b/>
                <w:color w:val="305494"/>
                <w:sz w:val="16"/>
              </w:rPr>
            </w:pPr>
            <w:r>
              <w:rPr>
                <w:rFonts w:ascii="arial" w:hAnsi="arial"/>
                <w:b/>
                <w:color w:val="305494"/>
                <w:sz w:val="16"/>
              </w:rPr>
              <w:t>2</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9492"/>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color w:val="305494"/>
              </w:rPr>
            </w:pPr>
            <w:r>
              <w:rPr>
                <w:color w:val="305494"/>
              </w:rPr>
              <w:t>●</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b/>
                <w:sz w:val="20"/>
              </w:rPr>
              <w:t>Beneficial Owner: Shares Registered in the Name of Broker, Bank or Other Nominee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on the record date, your shares were held not in your name, but in an account with a broker, bank or other nominee as custodian on your behalf, then you are considered the beneficial owner of shares held in street name. The Proxy Materials are being forwarded to you by that broker, bank or other nominee who is considered the stockholder of record of those shares for purposes of voting at the Annual Meeting. As the beneficial owner, you have the right to direct your broker, bank or other nominee on how to vote your shares by following the instructions for voting set forth on that organizations voting instruction card.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What is the effect of giving a proxy? What if I return a proxy card or otherwise vote but do not make specific choices? </w:t>
      </w:r>
    </w:p>
    <w:p>
      <w:pPr>
        <w:pStyle w:val="TextBody"/>
        <w:bidi w:val="0"/>
        <w:spacing w:before="240" w:after="0"/>
        <w:jc w:val="left"/>
        <w:rPr>
          <w:rFonts w:ascii="Times New Roman" w:hAnsi="Times New Roman"/>
          <w:sz w:val="20"/>
        </w:rPr>
      </w:pPr>
      <w:r>
        <w:rPr>
          <w:rFonts w:ascii="Times New Roman" w:hAnsi="Times New Roman"/>
          <w:sz w:val="20"/>
        </w:rPr>
        <w:t xml:space="preserve">Proxies are solicited by and on behalf of the board of directors. Robin Harper Cowie (our Chief Financial Officer, Secretary and Treasurer) and Christopher C. Vazquez (our Chief Accounting Officer) have been designated as proxy holders by the board of directors. If you properly grant your proxy, your shares will be voted as you instruct. </w:t>
      </w:r>
    </w:p>
    <w:p>
      <w:pPr>
        <w:pStyle w:val="TextBody"/>
        <w:bidi w:val="0"/>
        <w:spacing w:before="240" w:after="0"/>
        <w:jc w:val="left"/>
        <w:rPr>
          <w:rFonts w:ascii="Times New Roman" w:hAnsi="Times New Roman"/>
          <w:sz w:val="20"/>
        </w:rPr>
      </w:pPr>
      <w:r>
        <w:rPr>
          <w:rFonts w:ascii="Times New Roman" w:hAnsi="Times New Roman"/>
          <w:sz w:val="20"/>
        </w:rPr>
        <w:t xml:space="preserve">If you return a signed proxy card or otherwise vote without marking specific voting selections, your shares will be voted as the board of directors recommends: For the election of three Class I directors (Proposal One); For the ratification of the appointment of KPMG LLP as our independent registered public accounting firm for 2024 (Proposal Two); For the approval of the conversion of the Series A Preferred Stock into shares of Common Stock (Proposal Three); For the approval of the issuance of shares of Series A Preferred Stock to certain of the Companys directors and officers and any shares of the Companys Common Stock issuable upon the conversion thereof (Proposal Four); and in accordance with the best judgment of your proxy holder for any other matters properly brought before the meeting, if any.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Can I change my vote or revoke my proxy? </w:t>
      </w:r>
    </w:p>
    <w:p>
      <w:pPr>
        <w:pStyle w:val="TextBody"/>
        <w:bidi w:val="0"/>
        <w:spacing w:before="240" w:after="0"/>
        <w:jc w:val="left"/>
        <w:rPr>
          <w:rFonts w:ascii="Times New Roman" w:hAnsi="Times New Roman"/>
          <w:sz w:val="20"/>
        </w:rPr>
      </w:pPr>
      <w:r>
        <w:rPr>
          <w:rFonts w:ascii="Times New Roman" w:hAnsi="Times New Roman"/>
          <w:sz w:val="20"/>
        </w:rPr>
        <w:t xml:space="preserve">Yes. If you are a stockholder of record, you can change your vote or revoke your proxy and voting instructions at any time prior to the vote at the annual meeting. To do so: </w:t>
      </w:r>
    </w:p>
    <w:p>
      <w:pPr>
        <w:pStyle w:val="TextBody"/>
        <w:bidi w:val="0"/>
        <w:spacing w:before="240" w:after="0"/>
        <w:jc w:val="left"/>
        <w:rPr/>
      </w:pPr>
      <w:r>
        <w:rPr>
          <w:color w:val="2E65AF"/>
        </w:rPr>
        <w:t>●</w:t>
      </w:r>
      <w:r>
        <w:rPr/>
        <w:t xml:space="preserve"> </w:t>
      </w:r>
      <w:r>
        <w:rPr>
          <w:rFonts w:ascii="Times New Roman" w:hAnsi="Times New Roman"/>
          <w:sz w:val="20"/>
        </w:rPr>
        <w:t xml:space="preserve">Submit a new proxy card or voting instructions to the independent tabulator, Mediant Communications Inc. (Mediant), by mail, telephone or through the Internet by the closing of the polls at the annual meeting. </w:t>
      </w:r>
    </w:p>
    <w:p>
      <w:pPr>
        <w:pStyle w:val="TextBody"/>
        <w:bidi w:val="0"/>
        <w:spacing w:before="240" w:after="0"/>
        <w:jc w:val="left"/>
        <w:rPr/>
      </w:pPr>
      <w:r>
        <w:rPr>
          <w:color w:val="2E65AF"/>
        </w:rPr>
        <w:t>●</w:t>
      </w:r>
      <w:r>
        <w:rPr/>
        <w:t xml:space="preserve"> </w:t>
      </w:r>
      <w:r>
        <w:rPr>
          <w:rFonts w:ascii="Times New Roman" w:hAnsi="Times New Roman"/>
          <w:sz w:val="20"/>
        </w:rPr>
        <w:t xml:space="preserve">Attend the virtual Annual Meeting and vote electronically during the meeting. Simply attending the meeting will not, by itself, revoke your proxy. </w:t>
      </w:r>
    </w:p>
    <w:p>
      <w:pPr>
        <w:pStyle w:val="TextBody"/>
        <w:bidi w:val="0"/>
        <w:spacing w:before="240" w:after="0"/>
        <w:jc w:val="left"/>
        <w:rPr>
          <w:rFonts w:ascii="Times New Roman" w:hAnsi="Times New Roman"/>
          <w:sz w:val="20"/>
        </w:rPr>
      </w:pPr>
      <w:r>
        <w:rPr>
          <w:rFonts w:ascii="Times New Roman" w:hAnsi="Times New Roman"/>
          <w:sz w:val="20"/>
        </w:rPr>
        <w:t xml:space="preserve">If you are the beneficial owner of shares held in street name, you should follow the instructions provided by your broker, bank or other nominee to revoke previously submitted voting instructions.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What are broker non-votes? </w:t>
      </w:r>
    </w:p>
    <w:p>
      <w:pPr>
        <w:pStyle w:val="TextBody"/>
        <w:bidi w:val="0"/>
        <w:spacing w:before="240" w:after="0"/>
        <w:jc w:val="left"/>
        <w:rPr>
          <w:rFonts w:ascii="Times New Roman" w:hAnsi="Times New Roman"/>
          <w:sz w:val="20"/>
        </w:rPr>
      </w:pPr>
      <w:r>
        <w:rPr>
          <w:rFonts w:ascii="Times New Roman" w:hAnsi="Times New Roman"/>
          <w:sz w:val="20"/>
        </w:rPr>
        <w:t xml:space="preserve">Brokers, banks or other nominees holding shares on behalf of a beneficial owner may vote those shares in their discretion on certain routine matters even if they do not receive timely voting instructions from the beneficial owner. With respect to non-routine matters, the broker, bank or other nominee is not permitted to vote shares for a beneficial owner without timely received voting instructions. The only routine matter to be presented at the Annual Meeting is the proposal to ratify the appointment of KPMG LLP as our independent registered public accounting firm for 2024 (Proposal Two). The election of three Class I directors (Proposal One), approval of the conversion of the Series A Preferred Stock into shares of Common Stock (Proposal Three) and the approval of the issuance of shares of Series A Preferred Stock to certain of the Companys directors and officers and any shares of the Companys Common Stock issuable upon the conversion thereof (Proposal Four) are non-routine matters.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rFonts w:ascii="arial" w:hAnsi="arial"/>
                <w:b/>
                <w:color w:val="305494"/>
                <w:sz w:val="16"/>
              </w:rPr>
            </w:pPr>
            <w:r>
              <w:rPr>
                <w:rFonts w:ascii="arial" w:hAnsi="arial"/>
                <w:b/>
                <w:color w:val="305494"/>
                <w:sz w:val="16"/>
              </w:rPr>
              <w:t>3</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broker non-vote occurs when a broker, bank or other nominee does not vote on a non-routine matter because the beneficial owner of such shares has not provided voting instructions with regard to such matter. If a broker, bank or other nominee exercises discretionary voting authority on Proposal Two, such shares will be considered present at the Annual Meeting for quorum purposes and broker non-votes will occur as to Proposal One, Proposal Three and Proposal Four and any other non-routine matters that are properly presented at the Annual Meeting. Broker non-votes will have no impact on the voting results.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How many shares must be present to hold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A quorum must be present at the Annual Meeting for any business to be conducted. A quorum will be present if the holders of at least a majority of the outstanding shares of our common stock entitled to vote are present at the Annual Meeting online or represented by proxy. On the record date, there were 97,159,448 shares of our common stock outstanding and entitled to vote. Therefore, the holders of 48,579,725 shares must be present online or represented by proxy at the Annual Meeting to have a quorum. For purposes of determining the presence of a quorum, abstentions, withheld votes and broker non-votes are counted. If there is no quorum, the holders of a majority of shares present or represented by proxy at the Annual Meeting may adjourn the meeting to a later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rFonts w:ascii="arial" w:hAnsi="arial"/>
                <w:b/>
                <w:color w:val="305494"/>
                <w:sz w:val="16"/>
              </w:rPr>
            </w:pPr>
            <w:r>
              <w:rPr>
                <w:rFonts w:ascii="arial" w:hAnsi="arial"/>
                <w:b/>
                <w:color w:val="305494"/>
                <w:sz w:val="16"/>
              </w:rPr>
              <w:t>4</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color w:val="305494"/>
          <w:sz w:val="20"/>
        </w:rPr>
      </w:pPr>
      <w:r>
        <w:rPr>
          <w:rFonts w:ascii="Times New Roman" w:hAnsi="Times New Roman"/>
          <w:b/>
          <w:color w:val="305494"/>
          <w:sz w:val="20"/>
        </w:rPr>
        <w:t xml:space="preserve">What vote is required for the approval of each proposal? What effect do withhold votes, abstentions and broker non-votes have on the proposals?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chart summarizes the proposals to be considered at the Annual Meeting, the vote required for approval of each proposal, and the manner in which votes will be counted: </w:t>
      </w:r>
    </w:p>
    <w:p>
      <w:pPr>
        <w:pStyle w:val="TextBody"/>
        <w:bidi w:val="0"/>
        <w:spacing w:before="0" w:after="0"/>
        <w:jc w:val="left"/>
        <w:rPr/>
      </w:pPr>
      <w:r>
        <w:rPr/>
        <w:t> </w:t>
      </w:r>
    </w:p>
    <w:tbl>
      <w:tblPr>
        <w:tblW w:w="15706" w:type="dxa"/>
        <w:jc w:val="center"/>
        <w:tblInd w:w="0" w:type="dxa"/>
        <w:tblLayout w:type="fixed"/>
        <w:tblCellMar>
          <w:top w:w="0" w:type="dxa"/>
          <w:left w:w="0" w:type="dxa"/>
          <w:bottom w:w="0" w:type="dxa"/>
          <w:right w:w="0" w:type="dxa"/>
        </w:tblCellMar>
      </w:tblPr>
      <w:tblGrid>
        <w:gridCol w:w="23"/>
        <w:gridCol w:w="23"/>
        <w:gridCol w:w="3060"/>
        <w:gridCol w:w="120"/>
        <w:gridCol w:w="3060"/>
        <w:gridCol w:w="120"/>
        <w:gridCol w:w="3060"/>
        <w:gridCol w:w="60"/>
        <w:gridCol w:w="3060"/>
        <w:gridCol w:w="60"/>
        <w:gridCol w:w="3060"/>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pPr>
            <w:r>
              <w:rPr/>
              <w:t>                                                   </w:t>
            </w:r>
          </w:p>
        </w:tc>
      </w:tr>
      <w:tr>
        <w:trPr/>
        <w:tc>
          <w:tcPr>
            <w:tcW w:w="3106" w:type="dxa"/>
            <w:gridSpan w:val="3"/>
            <w:tcBorders>
              <w:bottom w:val="single" w:sz="16" w:space="0" w:color="305494"/>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Proposal</w:t>
            </w:r>
          </w:p>
        </w:tc>
        <w:tc>
          <w:tcPr>
            <w:tcW w:w="120" w:type="dxa"/>
            <w:tcBorders>
              <w:bottom w:val="single" w:sz="16" w:space="0" w:color="305494"/>
            </w:tcBorders>
            <w:tcMar>
              <w:bottom w:w="28" w:type="dxa"/>
            </w:tcMar>
            <w:vAlign w:val="bottom"/>
          </w:tcPr>
          <w:p>
            <w:pPr>
              <w:pStyle w:val="TableContents"/>
              <w:bidi w:val="0"/>
              <w:spacing w:before="0" w:after="283"/>
              <w:jc w:val="left"/>
              <w:rPr/>
            </w:pPr>
            <w:r>
              <w:rPr/>
              <w:t>  </w:t>
            </w:r>
          </w:p>
        </w:tc>
        <w:tc>
          <w:tcPr>
            <w:tcW w:w="3060" w:type="dxa"/>
            <w:tcBorders>
              <w:bottom w:val="single" w:sz="16" w:space="0" w:color="305494"/>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Voting Options</w:t>
            </w:r>
          </w:p>
        </w:tc>
        <w:tc>
          <w:tcPr>
            <w:tcW w:w="120" w:type="dxa"/>
            <w:tcBorders>
              <w:bottom w:val="single" w:sz="16" w:space="0" w:color="305494"/>
            </w:tcBorders>
            <w:tcMar>
              <w:bottom w:w="28" w:type="dxa"/>
            </w:tcMar>
            <w:vAlign w:val="bottom"/>
          </w:tcPr>
          <w:p>
            <w:pPr>
              <w:pStyle w:val="TableContents"/>
              <w:bidi w:val="0"/>
              <w:spacing w:before="0" w:after="283"/>
              <w:jc w:val="left"/>
              <w:rPr/>
            </w:pPr>
            <w:r>
              <w:rPr/>
              <w:t>  </w:t>
            </w:r>
          </w:p>
        </w:tc>
        <w:tc>
          <w:tcPr>
            <w:tcW w:w="3060" w:type="dxa"/>
            <w:tcBorders>
              <w:bottom w:val="single" w:sz="16" w:space="0" w:color="305494"/>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Vote Required to Adopt the</w:t>
              <w:br/>
              <w:t>Proposal</w:t>
            </w:r>
          </w:p>
        </w:tc>
        <w:tc>
          <w:tcPr>
            <w:tcW w:w="60" w:type="dxa"/>
            <w:tcBorders>
              <w:bottom w:val="single" w:sz="16" w:space="0" w:color="305494"/>
            </w:tcBorders>
            <w:tcMar>
              <w:bottom w:w="28" w:type="dxa"/>
            </w:tcMar>
            <w:vAlign w:val="bottom"/>
          </w:tcPr>
          <w:p>
            <w:pPr>
              <w:pStyle w:val="TableContents"/>
              <w:bidi w:val="0"/>
              <w:spacing w:before="0" w:after="283"/>
              <w:jc w:val="left"/>
              <w:rPr/>
            </w:pPr>
            <w:r>
              <w:rPr/>
              <w:t> </w:t>
            </w:r>
          </w:p>
        </w:tc>
        <w:tc>
          <w:tcPr>
            <w:tcW w:w="3060" w:type="dxa"/>
            <w:tcBorders>
              <w:bottom w:val="single" w:sz="16" w:space="0" w:color="305494"/>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Effect of Withheld</w:t>
              <w:br/>
              <w:t>Votes or Abstentions</w:t>
            </w:r>
          </w:p>
        </w:tc>
        <w:tc>
          <w:tcPr>
            <w:tcW w:w="60" w:type="dxa"/>
            <w:tcBorders>
              <w:bottom w:val="single" w:sz="16" w:space="0" w:color="305494"/>
            </w:tcBorders>
            <w:tcMar>
              <w:bottom w:w="28" w:type="dxa"/>
            </w:tcMar>
            <w:vAlign w:val="bottom"/>
          </w:tcPr>
          <w:p>
            <w:pPr>
              <w:pStyle w:val="TableContents"/>
              <w:bidi w:val="0"/>
              <w:spacing w:before="0" w:after="283"/>
              <w:jc w:val="left"/>
              <w:rPr/>
            </w:pPr>
            <w:r>
              <w:rPr/>
              <w:t> </w:t>
            </w:r>
          </w:p>
        </w:tc>
        <w:tc>
          <w:tcPr>
            <w:tcW w:w="3060" w:type="dxa"/>
            <w:tcBorders>
              <w:bottom w:val="single" w:sz="16" w:space="0" w:color="305494"/>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Effect of Broker</w:t>
              <w:br/>
              <w:t>Non-Votes</w:t>
            </w:r>
          </w:p>
        </w:tc>
      </w:tr>
      <w:tr>
        <w:trPr/>
        <w:tc>
          <w:tcPr>
            <w:tcW w:w="3106" w:type="dxa"/>
            <w:gridSpan w:val="3"/>
            <w:tcBorders>
              <w:bottom w:val="single" w:sz="8" w:space="0" w:color="305494"/>
              <w:right w:val="dotted" w:sz="10" w:space="0" w:color="305494"/>
            </w:tcBorders>
            <w:tcMar>
              <w:bottom w:w="28" w:type="dxa"/>
              <w:right w:w="28" w:type="dxa"/>
            </w:tcMar>
          </w:tcPr>
          <w:p>
            <w:pPr>
              <w:pStyle w:val="TableContents"/>
              <w:bidi w:val="0"/>
              <w:spacing w:before="0" w:after="283"/>
              <w:jc w:val="left"/>
              <w:rPr/>
            </w:pPr>
            <w:r>
              <w:rPr>
                <w:rFonts w:ascii="Times New Roman" w:hAnsi="Times New Roman"/>
                <w:b/>
                <w:color w:val="305494"/>
              </w:rPr>
              <w:t>Proposal One:</w:t>
            </w:r>
            <w:r>
              <w:rPr/>
              <w:t> </w:t>
            </w:r>
            <w:r>
              <w:rPr>
                <w:rFonts w:ascii="Times New Roman" w:hAnsi="Times New Roman"/>
              </w:rPr>
              <w:t>Election</w:t>
              <w:br/>
              <w:t>of the three Class I</w:t>
              <w:br/>
              <w:t>directors named in this</w:t>
              <w:br/>
              <w:t>proxy statement</w:t>
            </w:r>
          </w:p>
        </w:tc>
        <w:tc>
          <w:tcPr>
            <w:tcW w:w="120" w:type="dxa"/>
            <w:tcBorders>
              <w:bottom w:val="single" w:sz="8" w:space="0" w:color="305494"/>
            </w:tcBorders>
            <w:tcMar>
              <w:bottom w:w="28" w:type="dxa"/>
            </w:tcMar>
            <w:vAlign w:val="bottom"/>
          </w:tcPr>
          <w:p>
            <w:pPr>
              <w:pStyle w:val="TableContents"/>
              <w:bidi w:val="0"/>
              <w:spacing w:before="0" w:after="283"/>
              <w:jc w:val="left"/>
              <w:rPr/>
            </w:pPr>
            <w:r>
              <w:rPr/>
              <w:t>  </w:t>
            </w:r>
          </w:p>
        </w:tc>
        <w:tc>
          <w:tcPr>
            <w:tcW w:w="3060" w:type="dxa"/>
            <w:tcBorders>
              <w:bottom w:val="single" w:sz="8" w:space="0" w:color="305494"/>
              <w:right w:val="dotted" w:sz="10" w:space="0" w:color="305494"/>
            </w:tcBorders>
            <w:tcMar>
              <w:bottom w:w="28" w:type="dxa"/>
              <w:right w:w="28" w:type="dxa"/>
            </w:tcMar>
          </w:tcPr>
          <w:p>
            <w:pPr>
              <w:pStyle w:val="TableContents"/>
              <w:bidi w:val="0"/>
              <w:spacing w:before="0" w:after="283"/>
              <w:jc w:val="left"/>
              <w:rPr>
                <w:rFonts w:ascii="Times New Roman" w:hAnsi="Times New Roman"/>
              </w:rPr>
            </w:pPr>
            <w:r>
              <w:rPr>
                <w:rFonts w:ascii="Times New Roman" w:hAnsi="Times New Roman"/>
              </w:rPr>
              <w:t>For or</w:t>
              <w:br/>
              <w:t>Withhold on</w:t>
              <w:br/>
              <w:t>each nominee</w:t>
            </w:r>
          </w:p>
        </w:tc>
        <w:tc>
          <w:tcPr>
            <w:tcW w:w="120" w:type="dxa"/>
            <w:tcBorders>
              <w:bottom w:val="single" w:sz="8" w:space="0" w:color="305494"/>
            </w:tcBorders>
            <w:tcMar>
              <w:bottom w:w="28" w:type="dxa"/>
            </w:tcMar>
            <w:vAlign w:val="bottom"/>
          </w:tcPr>
          <w:p>
            <w:pPr>
              <w:pStyle w:val="TableContents"/>
              <w:bidi w:val="0"/>
              <w:spacing w:before="0" w:after="283"/>
              <w:jc w:val="left"/>
              <w:rPr/>
            </w:pPr>
            <w:r>
              <w:rPr/>
              <w:t>  </w:t>
            </w:r>
          </w:p>
        </w:tc>
        <w:tc>
          <w:tcPr>
            <w:tcW w:w="3060" w:type="dxa"/>
            <w:tcBorders>
              <w:bottom w:val="single" w:sz="8" w:space="0" w:color="305494"/>
              <w:right w:val="dotted" w:sz="10" w:space="0" w:color="305494"/>
            </w:tcBorders>
            <w:tcMar>
              <w:bottom w:w="28" w:type="dxa"/>
              <w:right w:w="28" w:type="dxa"/>
            </w:tcMar>
          </w:tcPr>
          <w:p>
            <w:pPr>
              <w:pStyle w:val="TableContents"/>
              <w:bidi w:val="0"/>
              <w:spacing w:before="0" w:after="283"/>
              <w:jc w:val="left"/>
              <w:rPr>
                <w:rFonts w:ascii="Times New Roman" w:hAnsi="Times New Roman"/>
              </w:rPr>
            </w:pPr>
            <w:r>
              <w:rPr>
                <w:rFonts w:ascii="Times New Roman" w:hAnsi="Times New Roman"/>
              </w:rPr>
              <w:t>Plurality of the votes cast.</w:t>
              <w:br/>
              <w:t>This means that the three</w:t>
              <w:br/>
              <w:t>nominees receiving the</w:t>
              <w:br/>
              <w:t>highest number of For</w:t>
              <w:br/>
              <w:t>votes (from the holders of</w:t>
              <w:br/>
              <w:t>votes of shares present or</w:t>
              <w:br/>
              <w:t>represented by proxy and</w:t>
              <w:br/>
              <w:t>entitled to vote on the</w:t>
              <w:br/>
              <w:t>election of directors) will</w:t>
              <w:br/>
              <w:t>be elected as Class I</w:t>
              <w:br/>
              <w:t>directors.</w:t>
            </w:r>
          </w:p>
        </w:tc>
        <w:tc>
          <w:tcPr>
            <w:tcW w:w="60" w:type="dxa"/>
            <w:tcBorders>
              <w:bottom w:val="single" w:sz="8" w:space="0" w:color="305494"/>
            </w:tcBorders>
            <w:tcMar>
              <w:bottom w:w="28" w:type="dxa"/>
            </w:tcMar>
            <w:vAlign w:val="bottom"/>
          </w:tcPr>
          <w:p>
            <w:pPr>
              <w:pStyle w:val="TableContents"/>
              <w:bidi w:val="0"/>
              <w:spacing w:before="0" w:after="283"/>
              <w:jc w:val="left"/>
              <w:rPr/>
            </w:pPr>
            <w:r>
              <w:rPr/>
              <w:t> </w:t>
            </w:r>
          </w:p>
        </w:tc>
        <w:tc>
          <w:tcPr>
            <w:tcW w:w="3060" w:type="dxa"/>
            <w:tcBorders>
              <w:bottom w:val="single" w:sz="8" w:space="0" w:color="305494"/>
              <w:right w:val="dotted" w:sz="10" w:space="0" w:color="305494"/>
            </w:tcBorders>
            <w:tcMar>
              <w:bottom w:w="28" w:type="dxa"/>
              <w:right w:w="28" w:type="dxa"/>
            </w:tcMar>
          </w:tcPr>
          <w:p>
            <w:pPr>
              <w:pStyle w:val="TableContents"/>
              <w:bidi w:val="0"/>
              <w:spacing w:before="0" w:after="283"/>
              <w:jc w:val="left"/>
              <w:rPr>
                <w:rFonts w:ascii="Times New Roman" w:hAnsi="Times New Roman"/>
              </w:rPr>
            </w:pPr>
            <w:r>
              <w:rPr>
                <w:rFonts w:ascii="Times New Roman" w:hAnsi="Times New Roman"/>
              </w:rPr>
              <w:t>Withheld votes</w:t>
              <w:br/>
              <w:t>have no effect;</w:t>
              <w:br/>
              <w:t>only For votes</w:t>
              <w:br/>
              <w:t>affect the outcome</w:t>
              <w:br/>
              <w:t>of the election.</w:t>
            </w:r>
          </w:p>
        </w:tc>
        <w:tc>
          <w:tcPr>
            <w:tcW w:w="60" w:type="dxa"/>
            <w:tcBorders>
              <w:bottom w:val="single" w:sz="8" w:space="0" w:color="305494"/>
            </w:tcBorders>
            <w:tcMar>
              <w:bottom w:w="28" w:type="dxa"/>
            </w:tcMar>
            <w:vAlign w:val="bottom"/>
          </w:tcPr>
          <w:p>
            <w:pPr>
              <w:pStyle w:val="TableContents"/>
              <w:bidi w:val="0"/>
              <w:spacing w:before="0" w:after="283"/>
              <w:jc w:val="left"/>
              <w:rPr/>
            </w:pPr>
            <w:r>
              <w:rPr/>
              <w:t> </w:t>
            </w:r>
          </w:p>
        </w:tc>
        <w:tc>
          <w:tcPr>
            <w:tcW w:w="3060" w:type="dxa"/>
            <w:tcBorders>
              <w:bottom w:val="single" w:sz="8" w:space="0" w:color="305494"/>
            </w:tcBorders>
            <w:tcMar>
              <w:bottom w:w="28" w:type="dxa"/>
            </w:tcMar>
          </w:tcPr>
          <w:p>
            <w:pPr>
              <w:pStyle w:val="TableContents"/>
              <w:bidi w:val="0"/>
              <w:spacing w:before="0" w:after="283"/>
              <w:jc w:val="left"/>
              <w:rPr>
                <w:rFonts w:ascii="Times New Roman" w:hAnsi="Times New Roman"/>
              </w:rPr>
            </w:pPr>
            <w:r>
              <w:rPr>
                <w:rFonts w:ascii="Times New Roman" w:hAnsi="Times New Roman"/>
              </w:rPr>
              <w:t>Brokers do not</w:t>
              <w:br/>
              <w:t>have discretion</w:t>
              <w:br/>
              <w:t>to vote. Broker</w:t>
              <w:br/>
              <w:t>non-votes will</w:t>
              <w:br/>
              <w:t>have no effect;</w:t>
              <w:br/>
              <w:t>only For</w:t>
              <w:br/>
              <w:t>votes affect the</w:t>
              <w:br/>
              <w:t>outcome of the</w:t>
              <w:br/>
              <w:t>election.</w:t>
            </w:r>
          </w:p>
        </w:tc>
      </w:tr>
      <w:tr>
        <w:trPr/>
        <w:tc>
          <w:tcPr>
            <w:tcW w:w="3106" w:type="dxa"/>
            <w:gridSpan w:val="3"/>
            <w:tcBorders>
              <w:bottom w:val="single" w:sz="8" w:space="0" w:color="305494"/>
              <w:right w:val="single" w:sz="10" w:space="0" w:color="305494"/>
            </w:tcBorders>
            <w:tcMar>
              <w:bottom w:w="28" w:type="dxa"/>
              <w:right w:w="28" w:type="dxa"/>
            </w:tcMar>
          </w:tcPr>
          <w:p>
            <w:pPr>
              <w:pStyle w:val="TableContents"/>
              <w:bidi w:val="0"/>
              <w:spacing w:before="0" w:after="283"/>
              <w:jc w:val="left"/>
              <w:rPr/>
            </w:pPr>
            <w:r>
              <w:rPr>
                <w:rFonts w:ascii="Times New Roman" w:hAnsi="Times New Roman"/>
                <w:b/>
                <w:color w:val="305494"/>
              </w:rPr>
              <w:t>Proposal Two:</w:t>
              <w:br/>
            </w:r>
            <w:r>
              <w:rPr>
                <w:rFonts w:ascii="Times New Roman" w:hAnsi="Times New Roman"/>
              </w:rPr>
              <w:t>Ratification of</w:t>
              <w:br/>
              <w:t>appointment of KPMG</w:t>
              <w:br/>
              <w:t>LLP as our independent</w:t>
              <w:br/>
              <w:t>registered public</w:t>
              <w:br/>
              <w:t>accounting firm for the</w:t>
              <w:br/>
              <w:t>year ended December 31, 2024</w:t>
            </w:r>
          </w:p>
        </w:tc>
        <w:tc>
          <w:tcPr>
            <w:tcW w:w="120" w:type="dxa"/>
            <w:tcBorders>
              <w:bottom w:val="single" w:sz="8" w:space="0" w:color="305494"/>
            </w:tcBorders>
            <w:tcMar>
              <w:bottom w:w="28" w:type="dxa"/>
            </w:tcMar>
            <w:vAlign w:val="bottom"/>
          </w:tcPr>
          <w:p>
            <w:pPr>
              <w:pStyle w:val="TableContents"/>
              <w:bidi w:val="0"/>
              <w:spacing w:before="0" w:after="283"/>
              <w:jc w:val="left"/>
              <w:rPr/>
            </w:pPr>
            <w:r>
              <w:rPr/>
              <w:t>  </w:t>
            </w:r>
          </w:p>
        </w:tc>
        <w:tc>
          <w:tcPr>
            <w:tcW w:w="3060" w:type="dxa"/>
            <w:tcBorders>
              <w:bottom w:val="single" w:sz="8" w:space="0" w:color="305494"/>
              <w:right w:val="single" w:sz="10" w:space="0" w:color="305494"/>
            </w:tcBorders>
            <w:tcMar>
              <w:bottom w:w="28" w:type="dxa"/>
              <w:right w:w="28" w:type="dxa"/>
            </w:tcMar>
          </w:tcPr>
          <w:p>
            <w:pPr>
              <w:pStyle w:val="TableContents"/>
              <w:bidi w:val="0"/>
              <w:spacing w:before="0" w:after="283"/>
              <w:jc w:val="left"/>
              <w:rPr>
                <w:rFonts w:ascii="Times New Roman" w:hAnsi="Times New Roman"/>
              </w:rPr>
            </w:pPr>
            <w:r>
              <w:rPr>
                <w:rFonts w:ascii="Times New Roman" w:hAnsi="Times New Roman"/>
              </w:rPr>
              <w:t>For, Against or</w:t>
              <w:br/>
              <w:t>Abstain</w:t>
            </w:r>
          </w:p>
        </w:tc>
        <w:tc>
          <w:tcPr>
            <w:tcW w:w="120" w:type="dxa"/>
            <w:tcBorders>
              <w:bottom w:val="single" w:sz="8" w:space="0" w:color="305494"/>
            </w:tcBorders>
            <w:tcMar>
              <w:bottom w:w="28" w:type="dxa"/>
            </w:tcMar>
            <w:vAlign w:val="bottom"/>
          </w:tcPr>
          <w:p>
            <w:pPr>
              <w:pStyle w:val="TableContents"/>
              <w:bidi w:val="0"/>
              <w:spacing w:before="0" w:after="283"/>
              <w:jc w:val="left"/>
              <w:rPr/>
            </w:pPr>
            <w:r>
              <w:rPr/>
              <w:t>  </w:t>
            </w:r>
          </w:p>
        </w:tc>
        <w:tc>
          <w:tcPr>
            <w:tcW w:w="3060" w:type="dxa"/>
            <w:tcBorders>
              <w:bottom w:val="single" w:sz="8" w:space="0" w:color="305494"/>
              <w:right w:val="single" w:sz="10" w:space="0" w:color="305494"/>
            </w:tcBorders>
            <w:tcMar>
              <w:bottom w:w="28" w:type="dxa"/>
              <w:right w:w="28" w:type="dxa"/>
            </w:tcMar>
          </w:tcPr>
          <w:p>
            <w:pPr>
              <w:pStyle w:val="TableContents"/>
              <w:bidi w:val="0"/>
              <w:spacing w:before="0" w:after="283"/>
              <w:jc w:val="left"/>
              <w:rPr>
                <w:rFonts w:ascii="Times New Roman" w:hAnsi="Times New Roman"/>
              </w:rPr>
            </w:pPr>
            <w:r>
              <w:rPr>
                <w:rFonts w:ascii="Times New Roman" w:hAnsi="Times New Roman"/>
              </w:rPr>
              <w:t>Affirmative vote of a</w:t>
              <w:br/>
              <w:t>majority of the shares</w:t>
              <w:br/>
              <w:t>present or represented by</w:t>
              <w:br/>
              <w:t>proxy and entitled to vote</w:t>
              <w:br/>
              <w:t>on the proposal.</w:t>
            </w:r>
          </w:p>
        </w:tc>
        <w:tc>
          <w:tcPr>
            <w:tcW w:w="60" w:type="dxa"/>
            <w:tcBorders>
              <w:bottom w:val="single" w:sz="8" w:space="0" w:color="305494"/>
            </w:tcBorders>
            <w:tcMar>
              <w:bottom w:w="28" w:type="dxa"/>
            </w:tcMar>
            <w:vAlign w:val="bottom"/>
          </w:tcPr>
          <w:p>
            <w:pPr>
              <w:pStyle w:val="TableContents"/>
              <w:bidi w:val="0"/>
              <w:spacing w:before="0" w:after="283"/>
              <w:jc w:val="left"/>
              <w:rPr/>
            </w:pPr>
            <w:r>
              <w:rPr/>
              <w:t> </w:t>
            </w:r>
          </w:p>
        </w:tc>
        <w:tc>
          <w:tcPr>
            <w:tcW w:w="3060" w:type="dxa"/>
            <w:tcBorders>
              <w:bottom w:val="single" w:sz="8" w:space="0" w:color="305494"/>
              <w:right w:val="single" w:sz="10" w:space="0" w:color="305494"/>
            </w:tcBorders>
            <w:tcMar>
              <w:bottom w:w="28" w:type="dxa"/>
              <w:right w:w="28" w:type="dxa"/>
            </w:tcMar>
          </w:tcPr>
          <w:p>
            <w:pPr>
              <w:pStyle w:val="TableContents"/>
              <w:bidi w:val="0"/>
              <w:spacing w:before="0" w:after="283"/>
              <w:jc w:val="left"/>
              <w:rPr>
                <w:rFonts w:ascii="Times New Roman" w:hAnsi="Times New Roman"/>
              </w:rPr>
            </w:pPr>
            <w:r>
              <w:rPr>
                <w:rFonts w:ascii="Times New Roman" w:hAnsi="Times New Roman"/>
              </w:rPr>
              <w:t>Abstentions are</w:t>
              <w:br/>
              <w:t>considered shares</w:t>
              <w:br/>
              <w:t>present and entitled</w:t>
              <w:br/>
              <w:t>to vote, and</w:t>
              <w:br/>
              <w:t>therefore have the</w:t>
              <w:br/>
              <w:t>same impact as</w:t>
              <w:br/>
              <w:t>votes Against the</w:t>
              <w:br/>
              <w:t>proposal.</w:t>
            </w:r>
          </w:p>
        </w:tc>
        <w:tc>
          <w:tcPr>
            <w:tcW w:w="60" w:type="dxa"/>
            <w:tcBorders>
              <w:bottom w:val="single" w:sz="8" w:space="0" w:color="305494"/>
            </w:tcBorders>
            <w:tcMar>
              <w:bottom w:w="28" w:type="dxa"/>
            </w:tcMar>
            <w:vAlign w:val="bottom"/>
          </w:tcPr>
          <w:p>
            <w:pPr>
              <w:pStyle w:val="TableContents"/>
              <w:bidi w:val="0"/>
              <w:spacing w:before="0" w:after="283"/>
              <w:jc w:val="left"/>
              <w:rPr/>
            </w:pPr>
            <w:r>
              <w:rPr/>
              <w:t> </w:t>
            </w:r>
          </w:p>
        </w:tc>
        <w:tc>
          <w:tcPr>
            <w:tcW w:w="3060" w:type="dxa"/>
            <w:tcBorders>
              <w:bottom w:val="single" w:sz="8" w:space="0" w:color="305494"/>
            </w:tcBorders>
            <w:tcMar>
              <w:bottom w:w="28" w:type="dxa"/>
            </w:tcMar>
          </w:tcPr>
          <w:p>
            <w:pPr>
              <w:pStyle w:val="TableContents"/>
              <w:bidi w:val="0"/>
              <w:spacing w:before="0" w:after="283"/>
              <w:jc w:val="left"/>
              <w:rPr>
                <w:rFonts w:ascii="Times New Roman" w:hAnsi="Times New Roman"/>
              </w:rPr>
            </w:pPr>
            <w:r>
              <w:rPr>
                <w:rFonts w:ascii="Times New Roman" w:hAnsi="Times New Roman"/>
              </w:rPr>
              <w:t>Brokers have</w:t>
              <w:br/>
              <w:t>discretion to</w:t>
              <w:br/>
              <w:t>vote. Therefore,</w:t>
              <w:br/>
              <w:t>we do not</w:t>
              <w:br/>
              <w:t>expect any</w:t>
              <w:br/>
              <w:t>broker</w:t>
              <w:br/>
              <w:t>non-votes.</w:t>
            </w:r>
          </w:p>
        </w:tc>
      </w:tr>
      <w:tr>
        <w:trPr/>
        <w:tc>
          <w:tcPr>
            <w:tcW w:w="3106" w:type="dxa"/>
            <w:gridSpan w:val="3"/>
            <w:tcBorders>
              <w:bottom w:val="single" w:sz="8" w:space="0" w:color="305494"/>
              <w:right w:val="single" w:sz="10" w:space="0" w:color="305494"/>
            </w:tcBorders>
            <w:tcMar>
              <w:bottom w:w="28" w:type="dxa"/>
              <w:right w:w="28" w:type="dxa"/>
            </w:tcMar>
          </w:tcPr>
          <w:p>
            <w:pPr>
              <w:pStyle w:val="TableContents"/>
              <w:bidi w:val="0"/>
              <w:spacing w:before="0" w:after="283"/>
              <w:jc w:val="left"/>
              <w:rPr/>
            </w:pPr>
            <w:r>
              <w:rPr>
                <w:rFonts w:ascii="Times New Roman" w:hAnsi="Times New Roman"/>
                <w:b/>
                <w:color w:val="305494"/>
              </w:rPr>
              <w:t>Proposal Three:</w:t>
              <w:br/>
            </w:r>
            <w:r>
              <w:rPr>
                <w:rFonts w:ascii="Times New Roman" w:hAnsi="Times New Roman"/>
              </w:rPr>
              <w:t>Approval of the conversion of the Series A Preferred Stock into shares of Common Stock</w:t>
            </w:r>
          </w:p>
        </w:tc>
        <w:tc>
          <w:tcPr>
            <w:tcW w:w="120" w:type="dxa"/>
            <w:tcBorders>
              <w:bottom w:val="single" w:sz="8" w:space="0" w:color="305494"/>
            </w:tcBorders>
            <w:tcMar>
              <w:bottom w:w="28" w:type="dxa"/>
            </w:tcMar>
            <w:vAlign w:val="bottom"/>
          </w:tcPr>
          <w:p>
            <w:pPr>
              <w:pStyle w:val="TableContents"/>
              <w:bidi w:val="0"/>
              <w:spacing w:before="0" w:after="283"/>
              <w:jc w:val="left"/>
              <w:rPr/>
            </w:pPr>
            <w:r>
              <w:rPr/>
              <w:t>  </w:t>
            </w:r>
          </w:p>
        </w:tc>
        <w:tc>
          <w:tcPr>
            <w:tcW w:w="3060" w:type="dxa"/>
            <w:tcBorders>
              <w:bottom w:val="single" w:sz="8" w:space="0" w:color="305494"/>
              <w:right w:val="single" w:sz="10" w:space="0" w:color="305494"/>
            </w:tcBorders>
            <w:tcMar>
              <w:bottom w:w="28" w:type="dxa"/>
              <w:right w:w="28" w:type="dxa"/>
            </w:tcMar>
          </w:tcPr>
          <w:p>
            <w:pPr>
              <w:pStyle w:val="TableContents"/>
              <w:bidi w:val="0"/>
              <w:spacing w:before="0" w:after="283"/>
              <w:jc w:val="left"/>
              <w:rPr>
                <w:rFonts w:ascii="Times New Roman" w:hAnsi="Times New Roman"/>
              </w:rPr>
            </w:pPr>
            <w:r>
              <w:rPr>
                <w:rFonts w:ascii="Times New Roman" w:hAnsi="Times New Roman"/>
              </w:rPr>
              <w:t>For, Against or</w:t>
              <w:br/>
              <w:t>Abstain</w:t>
            </w:r>
          </w:p>
        </w:tc>
        <w:tc>
          <w:tcPr>
            <w:tcW w:w="120" w:type="dxa"/>
            <w:tcBorders>
              <w:bottom w:val="single" w:sz="8" w:space="0" w:color="305494"/>
            </w:tcBorders>
            <w:tcMar>
              <w:bottom w:w="28" w:type="dxa"/>
            </w:tcMar>
            <w:vAlign w:val="bottom"/>
          </w:tcPr>
          <w:p>
            <w:pPr>
              <w:pStyle w:val="TableContents"/>
              <w:bidi w:val="0"/>
              <w:spacing w:before="0" w:after="283"/>
              <w:jc w:val="left"/>
              <w:rPr/>
            </w:pPr>
            <w:r>
              <w:rPr/>
              <w:t>  </w:t>
            </w:r>
          </w:p>
        </w:tc>
        <w:tc>
          <w:tcPr>
            <w:tcW w:w="3060" w:type="dxa"/>
            <w:tcBorders>
              <w:bottom w:val="single" w:sz="8" w:space="0" w:color="305494"/>
              <w:right w:val="single" w:sz="10" w:space="0" w:color="305494"/>
            </w:tcBorders>
            <w:tcMar>
              <w:bottom w:w="28" w:type="dxa"/>
              <w:right w:w="28" w:type="dxa"/>
            </w:tcMar>
          </w:tcPr>
          <w:p>
            <w:pPr>
              <w:pStyle w:val="TableContents"/>
              <w:bidi w:val="0"/>
              <w:spacing w:before="0" w:after="283"/>
              <w:jc w:val="left"/>
              <w:rPr>
                <w:rFonts w:ascii="Times New Roman" w:hAnsi="Times New Roman"/>
              </w:rPr>
            </w:pPr>
            <w:r>
              <w:rPr>
                <w:rFonts w:ascii="Times New Roman" w:hAnsi="Times New Roman"/>
              </w:rPr>
              <w:t>Affirmative vote of a</w:t>
              <w:br/>
              <w:t>majority of the shares</w:t>
              <w:br/>
              <w:t>present or represented by</w:t>
              <w:br/>
              <w:t>proxy and entitled to vote</w:t>
              <w:br/>
              <w:t>on the proposal.</w:t>
            </w:r>
          </w:p>
        </w:tc>
        <w:tc>
          <w:tcPr>
            <w:tcW w:w="60" w:type="dxa"/>
            <w:tcBorders>
              <w:bottom w:val="single" w:sz="8" w:space="0" w:color="305494"/>
            </w:tcBorders>
            <w:tcMar>
              <w:bottom w:w="28" w:type="dxa"/>
            </w:tcMar>
            <w:vAlign w:val="bottom"/>
          </w:tcPr>
          <w:p>
            <w:pPr>
              <w:pStyle w:val="TableContents"/>
              <w:bidi w:val="0"/>
              <w:spacing w:before="0" w:after="283"/>
              <w:jc w:val="left"/>
              <w:rPr/>
            </w:pPr>
            <w:r>
              <w:rPr/>
              <w:t> </w:t>
            </w:r>
          </w:p>
        </w:tc>
        <w:tc>
          <w:tcPr>
            <w:tcW w:w="3060" w:type="dxa"/>
            <w:tcBorders>
              <w:bottom w:val="single" w:sz="8" w:space="0" w:color="305494"/>
              <w:right w:val="single" w:sz="10" w:space="0" w:color="305494"/>
            </w:tcBorders>
            <w:tcMar>
              <w:bottom w:w="28" w:type="dxa"/>
              <w:right w:w="28" w:type="dxa"/>
            </w:tcMar>
          </w:tcPr>
          <w:p>
            <w:pPr>
              <w:pStyle w:val="TableContents"/>
              <w:bidi w:val="0"/>
              <w:spacing w:before="0" w:after="283"/>
              <w:jc w:val="left"/>
              <w:rPr>
                <w:rFonts w:ascii="Times New Roman" w:hAnsi="Times New Roman"/>
              </w:rPr>
            </w:pPr>
            <w:r>
              <w:rPr>
                <w:rFonts w:ascii="Times New Roman" w:hAnsi="Times New Roman"/>
              </w:rPr>
              <w:t>Abstentions are</w:t>
              <w:br/>
              <w:t>considered shares</w:t>
              <w:br/>
              <w:t>present and entitled</w:t>
              <w:br/>
              <w:t>to vote, and</w:t>
              <w:br/>
              <w:t>therefore have the</w:t>
              <w:br/>
              <w:t>same impact as</w:t>
              <w:br/>
              <w:t>votes Against the</w:t>
              <w:br/>
              <w:t>proposal.</w:t>
            </w:r>
          </w:p>
        </w:tc>
        <w:tc>
          <w:tcPr>
            <w:tcW w:w="60" w:type="dxa"/>
            <w:tcBorders>
              <w:bottom w:val="single" w:sz="8" w:space="0" w:color="305494"/>
            </w:tcBorders>
            <w:tcMar>
              <w:bottom w:w="28" w:type="dxa"/>
            </w:tcMar>
            <w:vAlign w:val="bottom"/>
          </w:tcPr>
          <w:p>
            <w:pPr>
              <w:pStyle w:val="TableContents"/>
              <w:bidi w:val="0"/>
              <w:spacing w:before="0" w:after="283"/>
              <w:jc w:val="left"/>
              <w:rPr/>
            </w:pPr>
            <w:r>
              <w:rPr/>
              <w:t> </w:t>
            </w:r>
          </w:p>
        </w:tc>
        <w:tc>
          <w:tcPr>
            <w:tcW w:w="3060" w:type="dxa"/>
            <w:tcBorders>
              <w:bottom w:val="single" w:sz="8" w:space="0" w:color="305494"/>
            </w:tcBorders>
            <w:tcMar>
              <w:bottom w:w="28" w:type="dxa"/>
            </w:tcMar>
          </w:tcPr>
          <w:p>
            <w:pPr>
              <w:pStyle w:val="TableContents"/>
              <w:bidi w:val="0"/>
              <w:spacing w:before="0" w:after="283"/>
              <w:jc w:val="left"/>
              <w:rPr>
                <w:rFonts w:ascii="Times New Roman" w:hAnsi="Times New Roman"/>
              </w:rPr>
            </w:pPr>
            <w:r>
              <w:rPr>
                <w:rFonts w:ascii="Times New Roman" w:hAnsi="Times New Roman"/>
              </w:rPr>
              <w:t>Brokers have</w:t>
              <w:br/>
              <w:t>discretion to</w:t>
              <w:br/>
              <w:t>vote. Therefore,</w:t>
              <w:br/>
              <w:t>we do not</w:t>
              <w:br/>
              <w:t>expect any</w:t>
              <w:br/>
              <w:t>broker</w:t>
              <w:br/>
              <w:t>non-votes.</w:t>
            </w:r>
          </w:p>
        </w:tc>
      </w:tr>
      <w:tr>
        <w:trPr/>
        <w:tc>
          <w:tcPr>
            <w:tcW w:w="3106" w:type="dxa"/>
            <w:gridSpan w:val="3"/>
            <w:tcBorders>
              <w:bottom w:val="single" w:sz="8" w:space="0" w:color="305494"/>
              <w:right w:val="single" w:sz="10" w:space="0" w:color="305494"/>
            </w:tcBorders>
            <w:tcMar>
              <w:bottom w:w="28" w:type="dxa"/>
              <w:right w:w="28" w:type="dxa"/>
            </w:tcMar>
          </w:tcPr>
          <w:p>
            <w:pPr>
              <w:pStyle w:val="TableContents"/>
              <w:bidi w:val="0"/>
              <w:spacing w:before="0" w:after="283"/>
              <w:jc w:val="left"/>
              <w:rPr/>
            </w:pPr>
            <w:r>
              <w:rPr>
                <w:rFonts w:ascii="Times New Roman" w:hAnsi="Times New Roman"/>
                <w:b/>
                <w:color w:val="305494"/>
              </w:rPr>
              <w:t>Proposal Four:</w:t>
              <w:br/>
            </w:r>
            <w:r>
              <w:rPr>
                <w:rFonts w:ascii="Times New Roman" w:hAnsi="Times New Roman"/>
              </w:rPr>
              <w:t>Approval of issuance of shares of Series A Preferred Stock to certain of the Companys directors and officers and any shares of the Companys Common Stock issuable upon the conversion thereof</w:t>
            </w:r>
          </w:p>
        </w:tc>
        <w:tc>
          <w:tcPr>
            <w:tcW w:w="120" w:type="dxa"/>
            <w:tcBorders>
              <w:bottom w:val="single" w:sz="8" w:space="0" w:color="305494"/>
            </w:tcBorders>
            <w:tcMar>
              <w:bottom w:w="28" w:type="dxa"/>
            </w:tcMar>
            <w:vAlign w:val="bottom"/>
          </w:tcPr>
          <w:p>
            <w:pPr>
              <w:pStyle w:val="TableContents"/>
              <w:bidi w:val="0"/>
              <w:spacing w:before="0" w:after="283"/>
              <w:jc w:val="left"/>
              <w:rPr/>
            </w:pPr>
            <w:r>
              <w:rPr/>
              <w:t>  </w:t>
            </w:r>
          </w:p>
        </w:tc>
        <w:tc>
          <w:tcPr>
            <w:tcW w:w="3060" w:type="dxa"/>
            <w:tcBorders>
              <w:bottom w:val="single" w:sz="8" w:space="0" w:color="305494"/>
              <w:right w:val="single" w:sz="10" w:space="0" w:color="305494"/>
            </w:tcBorders>
            <w:tcMar>
              <w:bottom w:w="28" w:type="dxa"/>
              <w:right w:w="28" w:type="dxa"/>
            </w:tcMar>
          </w:tcPr>
          <w:p>
            <w:pPr>
              <w:pStyle w:val="TableContents"/>
              <w:bidi w:val="0"/>
              <w:spacing w:before="0" w:after="283"/>
              <w:jc w:val="left"/>
              <w:rPr>
                <w:rFonts w:ascii="Times New Roman" w:hAnsi="Times New Roman"/>
              </w:rPr>
            </w:pPr>
            <w:r>
              <w:rPr>
                <w:rFonts w:ascii="Times New Roman" w:hAnsi="Times New Roman"/>
              </w:rPr>
              <w:t>For, Against or</w:t>
              <w:br/>
              <w:t>Abstain</w:t>
            </w:r>
          </w:p>
        </w:tc>
        <w:tc>
          <w:tcPr>
            <w:tcW w:w="120" w:type="dxa"/>
            <w:tcBorders>
              <w:bottom w:val="single" w:sz="8" w:space="0" w:color="305494"/>
            </w:tcBorders>
            <w:tcMar>
              <w:bottom w:w="28" w:type="dxa"/>
            </w:tcMar>
            <w:vAlign w:val="bottom"/>
          </w:tcPr>
          <w:p>
            <w:pPr>
              <w:pStyle w:val="TableContents"/>
              <w:bidi w:val="0"/>
              <w:spacing w:before="0" w:after="283"/>
              <w:jc w:val="left"/>
              <w:rPr/>
            </w:pPr>
            <w:r>
              <w:rPr/>
              <w:t>  </w:t>
            </w:r>
          </w:p>
        </w:tc>
        <w:tc>
          <w:tcPr>
            <w:tcW w:w="3060" w:type="dxa"/>
            <w:tcBorders>
              <w:bottom w:val="single" w:sz="8" w:space="0" w:color="305494"/>
              <w:right w:val="single" w:sz="10" w:space="0" w:color="305494"/>
            </w:tcBorders>
            <w:tcMar>
              <w:bottom w:w="28" w:type="dxa"/>
              <w:right w:w="28" w:type="dxa"/>
            </w:tcMar>
          </w:tcPr>
          <w:p>
            <w:pPr>
              <w:pStyle w:val="TableContents"/>
              <w:bidi w:val="0"/>
              <w:spacing w:before="0" w:after="283"/>
              <w:jc w:val="left"/>
              <w:rPr>
                <w:rFonts w:ascii="Times New Roman" w:hAnsi="Times New Roman"/>
              </w:rPr>
            </w:pPr>
            <w:r>
              <w:rPr>
                <w:rFonts w:ascii="Times New Roman" w:hAnsi="Times New Roman"/>
              </w:rPr>
              <w:t>Affirmative vote of a</w:t>
              <w:br/>
              <w:t>majority of the shares</w:t>
              <w:br/>
              <w:t>present or represented by</w:t>
              <w:br/>
              <w:t>proxy and entitled to vote</w:t>
              <w:br/>
              <w:t>on the proposal.</w:t>
            </w:r>
          </w:p>
        </w:tc>
        <w:tc>
          <w:tcPr>
            <w:tcW w:w="60" w:type="dxa"/>
            <w:tcBorders>
              <w:bottom w:val="single" w:sz="8" w:space="0" w:color="305494"/>
            </w:tcBorders>
            <w:tcMar>
              <w:bottom w:w="28" w:type="dxa"/>
            </w:tcMar>
            <w:vAlign w:val="bottom"/>
          </w:tcPr>
          <w:p>
            <w:pPr>
              <w:pStyle w:val="TableContents"/>
              <w:bidi w:val="0"/>
              <w:spacing w:before="0" w:after="283"/>
              <w:jc w:val="left"/>
              <w:rPr/>
            </w:pPr>
            <w:r>
              <w:rPr/>
              <w:t> </w:t>
            </w:r>
          </w:p>
        </w:tc>
        <w:tc>
          <w:tcPr>
            <w:tcW w:w="3060" w:type="dxa"/>
            <w:tcBorders>
              <w:bottom w:val="single" w:sz="8" w:space="0" w:color="305494"/>
              <w:right w:val="single" w:sz="10" w:space="0" w:color="305494"/>
            </w:tcBorders>
            <w:tcMar>
              <w:bottom w:w="28" w:type="dxa"/>
              <w:right w:w="28" w:type="dxa"/>
            </w:tcMar>
          </w:tcPr>
          <w:p>
            <w:pPr>
              <w:pStyle w:val="TableContents"/>
              <w:bidi w:val="0"/>
              <w:spacing w:before="0" w:after="283"/>
              <w:jc w:val="left"/>
              <w:rPr>
                <w:rFonts w:ascii="Times New Roman" w:hAnsi="Times New Roman"/>
              </w:rPr>
            </w:pPr>
            <w:r>
              <w:rPr>
                <w:rFonts w:ascii="Times New Roman" w:hAnsi="Times New Roman"/>
              </w:rPr>
              <w:t>Abstentions are</w:t>
              <w:br/>
              <w:t>considered shares</w:t>
              <w:br/>
              <w:t>present and entitled</w:t>
              <w:br/>
              <w:t>to vote, and</w:t>
              <w:br/>
              <w:t>therefore have the</w:t>
              <w:br/>
              <w:t>same impact as</w:t>
              <w:br/>
              <w:t>votes Against the</w:t>
              <w:br/>
              <w:t>proposal.</w:t>
            </w:r>
          </w:p>
        </w:tc>
        <w:tc>
          <w:tcPr>
            <w:tcW w:w="60" w:type="dxa"/>
            <w:tcBorders>
              <w:bottom w:val="single" w:sz="8" w:space="0" w:color="305494"/>
            </w:tcBorders>
            <w:tcMar>
              <w:bottom w:w="28" w:type="dxa"/>
            </w:tcMar>
            <w:vAlign w:val="bottom"/>
          </w:tcPr>
          <w:p>
            <w:pPr>
              <w:pStyle w:val="TableContents"/>
              <w:bidi w:val="0"/>
              <w:spacing w:before="0" w:after="283"/>
              <w:jc w:val="left"/>
              <w:rPr/>
            </w:pPr>
            <w:r>
              <w:rPr/>
              <w:t> </w:t>
            </w:r>
          </w:p>
        </w:tc>
        <w:tc>
          <w:tcPr>
            <w:tcW w:w="3060" w:type="dxa"/>
            <w:tcBorders>
              <w:bottom w:val="single" w:sz="8" w:space="0" w:color="305494"/>
            </w:tcBorders>
            <w:tcMar>
              <w:bottom w:w="28" w:type="dxa"/>
            </w:tcMar>
          </w:tcPr>
          <w:p>
            <w:pPr>
              <w:pStyle w:val="TableContents"/>
              <w:bidi w:val="0"/>
              <w:spacing w:before="0" w:after="283"/>
              <w:jc w:val="left"/>
              <w:rPr>
                <w:rFonts w:ascii="Times New Roman" w:hAnsi="Times New Roman"/>
              </w:rPr>
            </w:pPr>
            <w:r>
              <w:rPr>
                <w:rFonts w:ascii="Times New Roman" w:hAnsi="Times New Roman"/>
              </w:rPr>
              <w:t>Brokers have</w:t>
              <w:br/>
              <w:t>discretion to</w:t>
              <w:br/>
              <w:t>vote. Therefore,</w:t>
              <w:br/>
              <w:t>we do not</w:t>
              <w:br/>
              <w:t>expect any</w:t>
              <w:br/>
              <w:t>broker</w:t>
              <w:br/>
              <w:t>non-votes.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rFonts w:ascii="arial" w:hAnsi="arial"/>
                <w:b/>
                <w:color w:val="305494"/>
                <w:sz w:val="16"/>
              </w:rPr>
            </w:pPr>
            <w:r>
              <w:rPr>
                <w:rFonts w:ascii="arial" w:hAnsi="arial"/>
                <w:b/>
                <w:color w:val="305494"/>
                <w:sz w:val="16"/>
              </w:rPr>
              <w:t>5</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color w:val="305494"/>
          <w:sz w:val="20"/>
        </w:rPr>
      </w:pPr>
      <w:r>
        <w:rPr>
          <w:rFonts w:ascii="Times New Roman" w:hAnsi="Times New Roman"/>
          <w:b/>
          <w:color w:val="305494"/>
          <w:sz w:val="20"/>
        </w:rPr>
        <w:t xml:space="preserve">Important Information About Our Virtual Annual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2"/>
        <w:gridCol w:w="9900"/>
      </w:tblGrid>
      <w:tr>
        <w:trPr/>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b/>
                <w:color w:val="305494"/>
                <w:sz w:val="20"/>
              </w:rPr>
              <w:t xml:space="preserve">Why is the Annual Meeting being held in a virtual format this year? </w:t>
            </w:r>
            <w:r>
              <w:rPr>
                <w:rFonts w:ascii="Times New Roman" w:hAnsi="Times New Roman"/>
                <w:sz w:val="20"/>
              </w:rPr>
              <w:t xml:space="preserve">The Annual Meeting will be held in a virtual meeting format via live audio webcast, and will provide access to the Annual Meeting for our stockholders regardless of geographic location. We have designed our virtual format to help ensure that our stockholders who attend the Annual Meeting virtually will be afforded similar rights and opportunities to participate as they would at an in-person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1"/>
        <w:gridCol w:w="9902"/>
      </w:tblGrid>
      <w:tr>
        <w:trPr/>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902" w:type="dxa"/>
            <w:tcBorders/>
          </w:tcPr>
          <w:p>
            <w:pPr>
              <w:pStyle w:val="TableContents"/>
              <w:bidi w:val="0"/>
              <w:spacing w:before="0" w:after="0"/>
              <w:jc w:val="left"/>
              <w:rPr>
                <w:rFonts w:ascii="Times New Roman" w:hAnsi="Times New Roman"/>
                <w:sz w:val="20"/>
              </w:rPr>
            </w:pPr>
            <w:r>
              <w:rPr>
                <w:rFonts w:ascii="Times New Roman" w:hAnsi="Times New Roman"/>
                <w:b/>
                <w:color w:val="305494"/>
                <w:sz w:val="20"/>
              </w:rPr>
              <w:t xml:space="preserve">How can I attend Annual Meeting online? </w:t>
            </w:r>
            <w:r>
              <w:rPr>
                <w:rFonts w:ascii="Times New Roman" w:hAnsi="Times New Roman"/>
                <w:sz w:val="20"/>
              </w:rPr>
              <w:t xml:space="preserve">To join the Annual Meeting online, visit </w:t>
            </w:r>
            <w:r>
              <w:rPr>
                <w:rFonts w:ascii="Times New Roman" w:hAnsi="Times New Roman"/>
                <w:color w:val="305494"/>
                <w:sz w:val="20"/>
                <w:u w:val="single"/>
              </w:rPr>
              <w:t>www.proxydocs.com/BDSX</w:t>
            </w:r>
            <w:r>
              <w:rPr>
                <w:rFonts w:ascii="Times New Roman" w:hAnsi="Times New Roman"/>
                <w:sz w:val="20"/>
              </w:rPr>
              <w:t xml:space="preserve"> and register using your control number on your proxy card or on the instructions that accompanied your Proxy Materials, and following the instructions received via email, including a unique link that will allow you access to the Annual Meeting, to vote, and submit questions during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1"/>
        <w:gridCol w:w="9901"/>
      </w:tblGrid>
      <w:tr>
        <w:trPr/>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901" w:type="dxa"/>
            <w:tcBorders/>
          </w:tcPr>
          <w:p>
            <w:pPr>
              <w:pStyle w:val="TableContents"/>
              <w:bidi w:val="0"/>
              <w:spacing w:before="0" w:after="0"/>
              <w:jc w:val="left"/>
              <w:rPr>
                <w:rFonts w:ascii="Times New Roman" w:hAnsi="Times New Roman"/>
                <w:sz w:val="20"/>
              </w:rPr>
            </w:pPr>
            <w:r>
              <w:rPr>
                <w:rFonts w:ascii="Times New Roman" w:hAnsi="Times New Roman"/>
                <w:b/>
                <w:color w:val="305494"/>
                <w:sz w:val="20"/>
              </w:rPr>
              <w:t>When can I join the virtual Annual Meeting?</w:t>
            </w:r>
            <w:r>
              <w:rPr>
                <w:rFonts w:ascii="Times New Roman" w:hAnsi="Times New Roman"/>
                <w:sz w:val="20"/>
              </w:rPr>
              <w:t xml:space="preserve"> The meeting will begin promptly at 1:00 p.m. Mountain Time on Tuesday, May 21, 2024. You may access the meeting platform 15 minutes earlier, and we encourage you to join in advance of the meeting start time to allow sufficient time to log in and confirm your connection and audio are working properly.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2"/>
        <w:gridCol w:w="9900"/>
      </w:tblGrid>
      <w:tr>
        <w:trPr/>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900" w:type="dxa"/>
            <w:tcBorders/>
          </w:tcPr>
          <w:p>
            <w:pPr>
              <w:pStyle w:val="TableContents"/>
              <w:bidi w:val="0"/>
              <w:spacing w:before="0" w:after="0"/>
              <w:jc w:val="left"/>
              <w:rPr>
                <w:rFonts w:ascii="Times New Roman" w:hAnsi="Times New Roman"/>
                <w:sz w:val="20"/>
              </w:rPr>
            </w:pPr>
            <w:r>
              <w:rPr>
                <w:rFonts w:ascii="Times New Roman" w:hAnsi="Times New Roman"/>
                <w:b/>
                <w:color w:val="305494"/>
                <w:sz w:val="20"/>
              </w:rPr>
              <w:t xml:space="preserve">Can I ask questions during the virtual Annual Meeting? </w:t>
            </w:r>
            <w:r>
              <w:rPr>
                <w:rFonts w:ascii="Times New Roman" w:hAnsi="Times New Roman"/>
                <w:sz w:val="20"/>
              </w:rPr>
              <w:t xml:space="preserve">Yes. If you are logged in as a stockholder at the virtual Annual Meeting, you will have an opportunity to submit questions live via the Internet during a designated portion of the virtual Annual Meeting. Once you are logged in, type your question into the question box and click submit. Subject to time constraints, we intend to answer questions pertinent to the Company and meeting matters submitted by stockholders during the Annual Meeting that comply with our rules of conduct for the Annual Meeting, which will be posted on the meeting website during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2"/>
        <w:gridCol w:w="9901"/>
      </w:tblGrid>
      <w:tr>
        <w:trPr/>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901" w:type="dxa"/>
            <w:tcBorders/>
          </w:tcPr>
          <w:p>
            <w:pPr>
              <w:pStyle w:val="TableContents"/>
              <w:bidi w:val="0"/>
              <w:spacing w:before="0" w:after="0"/>
              <w:jc w:val="left"/>
              <w:rPr>
                <w:rFonts w:ascii="Times New Roman" w:hAnsi="Times New Roman"/>
                <w:sz w:val="20"/>
              </w:rPr>
            </w:pPr>
            <w:r>
              <w:rPr>
                <w:rFonts w:ascii="Times New Roman" w:hAnsi="Times New Roman"/>
                <w:b/>
                <w:color w:val="305494"/>
                <w:sz w:val="20"/>
              </w:rPr>
              <w:t xml:space="preserve">How do I vote during the virtual Annual Meeting? </w:t>
            </w:r>
            <w:r>
              <w:rPr>
                <w:rFonts w:ascii="Times New Roman" w:hAnsi="Times New Roman"/>
                <w:sz w:val="20"/>
              </w:rPr>
              <w:t xml:space="preserve">You will have an opportunity to vote your shares electronically during a designated portion of the virtual Annual Meeting after logging in. Whether or not you plan to join the Annual Meeting, we encourage you to vote and submit your proxy in advance of the meeting by one of the methods described in these Proxy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1"/>
        <w:gridCol w:w="9901"/>
      </w:tblGrid>
      <w:tr>
        <w:trPr/>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901" w:type="dxa"/>
            <w:tcBorders/>
          </w:tcPr>
          <w:p>
            <w:pPr>
              <w:pStyle w:val="TableContents"/>
              <w:bidi w:val="0"/>
              <w:spacing w:before="0" w:after="0"/>
              <w:jc w:val="left"/>
              <w:rPr>
                <w:rFonts w:ascii="Times New Roman" w:hAnsi="Times New Roman"/>
                <w:sz w:val="20"/>
              </w:rPr>
            </w:pPr>
            <w:r>
              <w:rPr>
                <w:rFonts w:ascii="Times New Roman" w:hAnsi="Times New Roman"/>
                <w:b/>
                <w:color w:val="305494"/>
                <w:sz w:val="20"/>
              </w:rPr>
              <w:t xml:space="preserve">What if I have technical difficulties? </w:t>
            </w:r>
            <w:r>
              <w:rPr>
                <w:rFonts w:ascii="Times New Roman" w:hAnsi="Times New Roman"/>
                <w:sz w:val="20"/>
              </w:rPr>
              <w:t xml:space="preserve">On the day of the Annual Meeting, if you have trouble accessing the virtual meeting platform or encounter other technical difficulties with the platform before or during the meeting, please call the technical support number provided in your email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1"/>
        <w:gridCol w:w="9902"/>
      </w:tblGrid>
      <w:tr>
        <w:trPr/>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902" w:type="dxa"/>
            <w:tcBorders/>
          </w:tcPr>
          <w:p>
            <w:pPr>
              <w:pStyle w:val="TableContents"/>
              <w:bidi w:val="0"/>
              <w:spacing w:before="0" w:after="0"/>
              <w:jc w:val="left"/>
              <w:rPr>
                <w:rFonts w:ascii="Times New Roman" w:hAnsi="Times New Roman"/>
                <w:sz w:val="20"/>
              </w:rPr>
            </w:pPr>
            <w:r>
              <w:rPr>
                <w:rFonts w:ascii="Times New Roman" w:hAnsi="Times New Roman"/>
                <w:b/>
                <w:color w:val="305494"/>
                <w:sz w:val="20"/>
              </w:rPr>
              <w:t>Will a list of stockholders be available for inspection prior to and during the meeting?</w:t>
            </w:r>
            <w:r>
              <w:rPr>
                <w:rFonts w:ascii="Times New Roman" w:hAnsi="Times New Roman"/>
                <w:sz w:val="20"/>
              </w:rPr>
              <w:t xml:space="preserve"> Yes. A complete list of stockholders of record will be available for inspection, by appointment only, by any stockholder for at least ten (10) days prior to the Annual Meeting during ordinary business hours at our headquarters located at 919 West Dillon Rd., Louisville, CO 80027.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1"/>
        <w:gridCol w:w="9902"/>
      </w:tblGrid>
      <w:tr>
        <w:trPr/>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902" w:type="dxa"/>
            <w:tcBorders/>
          </w:tcPr>
          <w:p>
            <w:pPr>
              <w:pStyle w:val="TableContents"/>
              <w:bidi w:val="0"/>
              <w:spacing w:before="0" w:after="0"/>
              <w:jc w:val="left"/>
              <w:rPr>
                <w:rFonts w:ascii="Times New Roman" w:hAnsi="Times New Roman"/>
                <w:sz w:val="20"/>
              </w:rPr>
            </w:pPr>
            <w:r>
              <w:rPr>
                <w:rFonts w:ascii="Times New Roman" w:hAnsi="Times New Roman"/>
                <w:b/>
                <w:color w:val="305494"/>
                <w:sz w:val="20"/>
              </w:rPr>
              <w:t xml:space="preserve">Will a recording of the meeting be available? </w:t>
            </w:r>
            <w:r>
              <w:rPr>
                <w:rFonts w:ascii="Times New Roman" w:hAnsi="Times New Roman"/>
                <w:sz w:val="20"/>
              </w:rPr>
              <w:t xml:space="preserve">Yes, following the Annual Meeting, a recording of the meeting will be available on </w:t>
            </w:r>
            <w:r>
              <w:rPr>
                <w:rFonts w:ascii="Times New Roman" w:hAnsi="Times New Roman"/>
                <w:color w:val="2E65AF"/>
                <w:sz w:val="20"/>
                <w:u w:val="single"/>
              </w:rPr>
              <w:t>www.proxydocs.com/BDSX</w:t>
            </w:r>
            <w:r>
              <w:rPr>
                <w:rFonts w:ascii="Times New Roman" w:hAnsi="Times New Roman"/>
                <w:sz w:val="20"/>
              </w:rPr>
              <w:t xml:space="preserve"> for one year following the meeting date. </w:t>
            </w:r>
          </w:p>
        </w:tc>
      </w:tr>
    </w:tbl>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Who will count the votes? </w:t>
      </w:r>
    </w:p>
    <w:p>
      <w:pPr>
        <w:pStyle w:val="TextBody"/>
        <w:bidi w:val="0"/>
        <w:spacing w:before="120" w:after="0"/>
        <w:jc w:val="left"/>
        <w:rPr>
          <w:rFonts w:ascii="Times New Roman" w:hAnsi="Times New Roman"/>
          <w:sz w:val="20"/>
        </w:rPr>
      </w:pPr>
      <w:r>
        <w:rPr>
          <w:rFonts w:ascii="Times New Roman" w:hAnsi="Times New Roman"/>
          <w:sz w:val="20"/>
        </w:rPr>
        <w:t xml:space="preserve">Representatives of Mediant will tabulate the votes, and a representative of Mediant will act as inspector of election.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Who is paying for this proxy solicitation? </w:t>
      </w:r>
    </w:p>
    <w:p>
      <w:pPr>
        <w:pStyle w:val="TextBody"/>
        <w:bidi w:val="0"/>
        <w:spacing w:before="120" w:after="0"/>
        <w:jc w:val="left"/>
        <w:rPr>
          <w:rFonts w:ascii="Times New Roman" w:hAnsi="Times New Roman"/>
          <w:sz w:val="20"/>
        </w:rPr>
      </w:pPr>
      <w:r>
        <w:rPr>
          <w:rFonts w:ascii="Times New Roman" w:hAnsi="Times New Roman"/>
          <w:sz w:val="20"/>
        </w:rPr>
        <w:t xml:space="preserve">We will pay the cost of soliciting proxies. Proxies may be solicited on our behalf by our directors, officers or employees (for no additional compensation) in person, by telephone or by other means of communication. Arrangements may be made with brokerage houses, custodians, nominees and fiduciaries to send proxy materials to their principals and we may reimburse them for the cost of forwarding proxy materials to beneficial owners.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rFonts w:ascii="arial" w:hAnsi="arial"/>
                <w:b/>
                <w:color w:val="305494"/>
                <w:sz w:val="16"/>
              </w:rPr>
            </w:pPr>
            <w:r>
              <w:rPr>
                <w:rFonts w:ascii="arial" w:hAnsi="arial"/>
                <w:b/>
                <w:color w:val="305494"/>
                <w:sz w:val="16"/>
              </w:rPr>
              <w:t>6</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color w:val="305494"/>
          <w:sz w:val="20"/>
        </w:rPr>
      </w:pPr>
      <w:r>
        <w:rPr>
          <w:rFonts w:ascii="Times New Roman" w:hAnsi="Times New Roman"/>
          <w:b/>
          <w:color w:val="305494"/>
          <w:sz w:val="20"/>
        </w:rPr>
        <w:t xml:space="preserve">What does it mean if I receive more than one set of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If you receive more than one set of Proxy Materials, your shares may be registered in more than one name or in different accounts. Please follow the voting instructions included in each set of Proxy Materials to ensure that all of your shares are voted.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How can I find out the results of the voting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Preliminary voting results will be announced at the Annual Meeting. In addition, final voting results will be published in a current report on Form 8-K that we expect to file with the SEC within four business days after the Annual Meeting.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Why were my Proxy Materials included in the same envelope as other people at my address? How may I obtain an additional copy of the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procedure approved by the SEC called householding. Under this procedure, we deliver a single copy of our Proxy Materials to stockholders of record who shares the same address, unless we have received contrary instructions from any stockholder at that address. This practice is designed to eliminate duplicate mailings, conserve natural resources and reduce our printing and mailing costs. Stockholders who participate in householding will continue to be able to access and receive separate proxy cards. If you share an address with another stockholder and receive only a single copy of our Proxy Materials, but would like to request a separate copy of these materials, please contact our mailing agent, Mediant, by calling 1-866-648-8133 or e-mailing paper@investorelections.com and an additional copy of the materials will be promptly delivered to you. Similarly, if you receive multiple copies of the Proxy Materials, but would prefer to receive a single copy in the future, you may also contact Mediant at the above telephone number or address. Beneficial owners should contact their broker, bank or other nominee to request information about householding procedures.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rFonts w:ascii="arial" w:hAnsi="arial"/>
                <w:b/>
                <w:color w:val="305494"/>
                <w:sz w:val="16"/>
              </w:rPr>
            </w:pPr>
            <w:r>
              <w:rPr>
                <w:rFonts w:ascii="arial" w:hAnsi="arial"/>
                <w:b/>
                <w:color w:val="305494"/>
                <w:sz w:val="16"/>
              </w:rPr>
              <w:t>7</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color w:val="305494"/>
          <w:sz w:val="32"/>
        </w:rPr>
      </w:pPr>
      <w:bookmarkStart w:id="4" w:name="toc674951_2"/>
      <w:bookmarkEnd w:id="4"/>
      <w:r>
        <w:rPr>
          <w:rFonts w:ascii="Times New Roman" w:hAnsi="Times New Roman"/>
          <w:b/>
          <w:color w:val="305494"/>
          <w:sz w:val="32"/>
        </w:rPr>
        <w:t xml:space="preserve">BOARD AND CORPORATE GOVERNANCE MATTERS </w:t>
      </w:r>
    </w:p>
    <w:p>
      <w:pPr>
        <w:pStyle w:val="TextBody"/>
        <w:bidi w:val="0"/>
        <w:spacing w:before="360" w:after="0"/>
        <w:jc w:val="left"/>
        <w:rPr>
          <w:rFonts w:ascii="Times New Roman" w:hAnsi="Times New Roman"/>
          <w:color w:val="305494"/>
          <w:sz w:val="28"/>
        </w:rPr>
      </w:pPr>
      <w:bookmarkStart w:id="5" w:name="toc674951_3"/>
      <w:bookmarkEnd w:id="5"/>
      <w:r>
        <w:rPr>
          <w:rFonts w:ascii="Times New Roman" w:hAnsi="Times New Roman"/>
          <w:color w:val="305494"/>
          <w:sz w:val="28"/>
        </w:rPr>
        <w:t xml:space="preserve">Proposal One: Election of Directors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The primary responsibilities of our board of directors are to provide oversight, strategic guidance, counseling and direction to our management. Our board of directors currently consists of nine directors and is divided into three classes of directors that serve staggered three-year terms, currently Class II, with a term expiring in 2025, Class III, with a term expiring in 2026 and Class I, with a term expiring in 2024. At the Annual Meeting, our stockholders will vote on the election of three Class I directors whose terms will expire at our 2027 annual meeting of stockholders. Each of our other current directors will continue to serve as a director until the election and qualification of his or her successor. </w:t>
      </w:r>
    </w:p>
    <w:p>
      <w:pPr>
        <w:pStyle w:val="TextBody"/>
        <w:bidi w:val="0"/>
        <w:spacing w:before="240" w:after="0"/>
        <w:jc w:val="left"/>
        <w:rPr>
          <w:rFonts w:ascii="Times New Roman" w:hAnsi="Times New Roman"/>
          <w:sz w:val="20"/>
        </w:rPr>
      </w:pPr>
      <w:r>
        <w:rPr>
          <w:rFonts w:ascii="Times New Roman" w:hAnsi="Times New Roman"/>
          <w:sz w:val="20"/>
        </w:rPr>
        <w:t xml:space="preserve">The three directors currently serving on our board of directors in Class I, the class whose term of office expires in 2024, have each been nominated by our board of directors, upon the recommendation of our nominating and corporate governance committee, to stand for election at the Annual Meeting. Jon Faiz Kayyem, Ph.D. has served on our board of directors since 2021. Scott Hutton has served on our board of directors since 2020. John Patience has served on our board of directors since 2008. Each of these three nominees has consented to being named as a nominee in this proxy statement and has agreed to serve, if elected, until our 2027 annual meeting of stockholders and until the election and qualification of his or her successor.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about each of the director nominees and continuing directors, including information regarding the experience, qualifications, attributes and skills that led to the conclusion that each director should serve as a member of the board of directors, please refer to the section below entitled Overview of Our Nominees and Continuing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6"/>
        <w:gridCol w:w="203"/>
        <w:gridCol w:w="7350"/>
        <w:gridCol w:w="101"/>
        <w:gridCol w:w="715"/>
      </w:tblGrid>
      <w:tr>
        <w:trPr/>
        <w:tc>
          <w:tcPr>
            <w:tcW w:w="183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3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b/>
              </w:rPr>
            </w:pPr>
            <w:r>
              <w:rPr>
                <w:b/>
              </w:rPr>
              <w:t>Vote Required:</w:t>
            </w:r>
          </w:p>
        </w:tc>
        <w:tc>
          <w:tcPr>
            <w:tcW w:w="203" w:type="dxa"/>
            <w:tcBorders/>
            <w:vAlign w:val="bottom"/>
          </w:tcPr>
          <w:p>
            <w:pPr>
              <w:pStyle w:val="TableContents"/>
              <w:bidi w:val="0"/>
              <w:spacing w:before="0" w:after="283"/>
              <w:jc w:val="left"/>
              <w:rPr/>
            </w:pPr>
            <w:r>
              <w:rPr/>
              <w:t>  </w:t>
            </w:r>
          </w:p>
        </w:tc>
        <w:tc>
          <w:tcPr>
            <w:tcW w:w="8166" w:type="dxa"/>
            <w:gridSpan w:val="3"/>
            <w:tcBorders/>
            <w:vAlign w:val="bottom"/>
          </w:tcPr>
          <w:p>
            <w:pPr>
              <w:pStyle w:val="TableContents"/>
              <w:bidi w:val="0"/>
              <w:spacing w:before="0" w:after="283"/>
              <w:jc w:val="left"/>
              <w:rPr/>
            </w:pPr>
            <w:r>
              <w:rPr/>
              <w:t>Directors are elected by a plurality of the votes cast by our stockholders at the Annual Meeting. This means that the three nominees receiving the highest number of affirmative votes (from the holders of votes of shares present or represented by proxy and entitled to vote on the election of directors) will be elected. Broker non-votes and Withheld votes will have no effect.</w:t>
            </w:r>
          </w:p>
        </w:tc>
      </w:tr>
      <w:tr>
        <w:trPr>
          <w:trHeight w:val="150" w:hRule="atLeast"/>
        </w:trPr>
        <w:tc>
          <w:tcPr>
            <w:tcW w:w="1836"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c>
          <w:tcPr>
            <w:tcW w:w="816"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0"/>
              <w:jc w:val="left"/>
              <w:rPr>
                <w:rFonts w:ascii="Times New Roman" w:hAnsi="Times New Roman"/>
                <w:b/>
                <w:sz w:val="20"/>
              </w:rPr>
            </w:pPr>
            <w:r>
              <w:rPr>
                <w:rFonts w:ascii="Times New Roman" w:hAnsi="Times New Roman"/>
                <w:b/>
                <w:sz w:val="20"/>
              </w:rPr>
              <w:t>Board</w:t>
            </w:r>
          </w:p>
          <w:p>
            <w:pPr>
              <w:pStyle w:val="TableContents"/>
              <w:bidi w:val="0"/>
              <w:spacing w:before="0" w:after="20"/>
              <w:jc w:val="left"/>
              <w:rPr>
                <w:rFonts w:ascii="Times New Roman" w:hAnsi="Times New Roman"/>
                <w:b/>
                <w:sz w:val="20"/>
              </w:rPr>
            </w:pPr>
            <w:r>
              <w:rPr>
                <w:rFonts w:ascii="Times New Roman" w:hAnsi="Times New Roman"/>
                <w:b/>
                <w:sz w:val="20"/>
              </w:rPr>
              <w:t>Recommendation:</w:t>
            </w:r>
          </w:p>
        </w:tc>
        <w:tc>
          <w:tcPr>
            <w:tcW w:w="203" w:type="dxa"/>
            <w:tcBorders/>
            <w:vAlign w:val="bottom"/>
          </w:tcPr>
          <w:p>
            <w:pPr>
              <w:pStyle w:val="TableContents"/>
              <w:bidi w:val="0"/>
              <w:spacing w:before="0" w:after="283"/>
              <w:jc w:val="left"/>
              <w:rPr/>
            </w:pPr>
            <w:r>
              <w:rPr/>
              <w:t>  </w:t>
            </w:r>
          </w:p>
        </w:tc>
        <w:tc>
          <w:tcPr>
            <w:tcW w:w="7350" w:type="dxa"/>
            <w:tcBorders/>
            <w:vAlign w:val="bottom"/>
          </w:tcPr>
          <w:p>
            <w:pPr>
              <w:pStyle w:val="TableContents"/>
              <w:bidi w:val="0"/>
              <w:spacing w:before="0" w:after="283"/>
              <w:jc w:val="left"/>
              <w:rPr>
                <w:b/>
                <w:color w:val="305494"/>
                <w:sz w:val="20"/>
              </w:rPr>
            </w:pPr>
            <w:r>
              <w:rPr>
                <w:b/>
                <w:color w:val="305494"/>
                <w:sz w:val="20"/>
              </w:rPr>
              <w:t>OUR BOARD OF DIRECTORS UNANIMOUSLY RECOMMENDS A VOTE FOR THE ELECTION OF EACH OF THE THREE CLASS I DIRECTOR NOMINEES NAMED ABOVE.</w:t>
            </w:r>
          </w:p>
        </w:tc>
        <w:tc>
          <w:tcPr>
            <w:tcW w:w="101" w:type="dxa"/>
            <w:tcBorders/>
            <w:vAlign w:val="bottom"/>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drawing>
                <wp:inline distT="0" distB="0" distL="0" distR="0">
                  <wp:extent cx="27940" cy="3937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7940" cy="3937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rFonts w:ascii="arial" w:hAnsi="arial"/>
                <w:b/>
                <w:color w:val="305494"/>
                <w:sz w:val="16"/>
              </w:rPr>
            </w:pPr>
            <w:r>
              <w:rPr>
                <w:rFonts w:ascii="arial" w:hAnsi="arial"/>
                <w:b/>
                <w:color w:val="305494"/>
                <w:sz w:val="16"/>
              </w:rPr>
              <w:t>8</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color w:val="305494"/>
          <w:sz w:val="28"/>
        </w:rPr>
      </w:pPr>
      <w:bookmarkStart w:id="6" w:name="toc674951_4"/>
      <w:bookmarkEnd w:id="6"/>
      <w:r>
        <w:rPr>
          <w:rFonts w:ascii="Times New Roman" w:hAnsi="Times New Roman"/>
          <w:color w:val="305494"/>
          <w:sz w:val="28"/>
        </w:rPr>
        <w:t xml:space="preserve">Overview of Our Nominees and Continuing Directors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and the brief biographies that follow provide information, as of the date of this proxy statement, about each director nominee and each continuing director: </w:t>
      </w:r>
    </w:p>
    <w:p>
      <w:pPr>
        <w:pStyle w:val="TextBody"/>
        <w:bidi w:val="0"/>
        <w:spacing w:before="0" w:after="0"/>
        <w:jc w:val="left"/>
        <w:rPr/>
      </w:pPr>
      <w:r>
        <w:rPr/>
        <w:t> </w:t>
      </w:r>
    </w:p>
    <w:tbl>
      <w:tblPr>
        <w:tblW w:w="13930" w:type="dxa"/>
        <w:jc w:val="center"/>
        <w:tblInd w:w="0" w:type="dxa"/>
        <w:tblLayout w:type="fixed"/>
        <w:tblCellMar>
          <w:top w:w="0" w:type="dxa"/>
          <w:left w:w="0" w:type="dxa"/>
          <w:bottom w:w="0" w:type="dxa"/>
          <w:right w:w="0" w:type="dxa"/>
        </w:tblCellMar>
      </w:tblPr>
      <w:tblGrid>
        <w:gridCol w:w="2510"/>
        <w:gridCol w:w="60"/>
        <w:gridCol w:w="960"/>
        <w:gridCol w:w="60"/>
        <w:gridCol w:w="2180"/>
        <w:gridCol w:w="60"/>
        <w:gridCol w:w="960"/>
        <w:gridCol w:w="60"/>
        <w:gridCol w:w="960"/>
        <w:gridCol w:w="60"/>
        <w:gridCol w:w="960"/>
        <w:gridCol w:w="60"/>
        <w:gridCol w:w="960"/>
        <w:gridCol w:w="60"/>
        <w:gridCol w:w="960"/>
        <w:gridCol w:w="60"/>
        <w:gridCol w:w="960"/>
        <w:gridCol w:w="60"/>
        <w:gridCol w:w="960"/>
        <w:gridCol w:w="60"/>
        <w:gridCol w:w="96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pPr>
            <w:r>
              <w:rPr/>
              <w:t>                </w:t>
            </w:r>
          </w:p>
        </w:tc>
      </w:tr>
      <w:tr>
        <w:trPr>
          <w:trHeight w:val="120" w:hRule="atLeast"/>
        </w:trPr>
        <w:tc>
          <w:tcPr>
            <w:tcW w:w="2510" w:type="dxa"/>
            <w:tcBorders/>
            <w:vAlign w:val="center"/>
          </w:tcPr>
          <w:p>
            <w:pPr>
              <w:pStyle w:val="TableContents"/>
              <w:bidi w:val="0"/>
              <w:spacing w:before="0" w:after="283"/>
              <w:jc w:val="left"/>
              <w:rPr>
                <w:sz w:val="4"/>
                <w:szCs w:val="4"/>
              </w:rPr>
            </w:pPr>
            <w:r>
              <w:rPr>
                <w:sz w:val="4"/>
                <w:szCs w:val="4"/>
              </w:rPr>
            </w:r>
          </w:p>
        </w:tc>
        <w:tc>
          <w:tcPr>
            <w:tcW w:w="1020" w:type="dxa"/>
            <w:gridSpan w:val="2"/>
            <w:tcBorders/>
            <w:vAlign w:val="center"/>
          </w:tcPr>
          <w:p>
            <w:pPr>
              <w:pStyle w:val="TableContents"/>
              <w:bidi w:val="0"/>
              <w:spacing w:before="0" w:after="283"/>
              <w:jc w:val="left"/>
              <w:rPr>
                <w:sz w:val="4"/>
                <w:szCs w:val="4"/>
              </w:rPr>
            </w:pPr>
            <w:r>
              <w:rPr>
                <w:sz w:val="4"/>
                <w:szCs w:val="4"/>
              </w:rPr>
            </w:r>
          </w:p>
        </w:tc>
        <w:tc>
          <w:tcPr>
            <w:tcW w:w="2240" w:type="dxa"/>
            <w:gridSpan w:val="2"/>
            <w:tcBorders/>
            <w:vAlign w:val="center"/>
          </w:tcPr>
          <w:p>
            <w:pPr>
              <w:pStyle w:val="TableContents"/>
              <w:bidi w:val="0"/>
              <w:spacing w:before="0" w:after="283"/>
              <w:jc w:val="left"/>
              <w:rPr>
                <w:sz w:val="4"/>
                <w:szCs w:val="4"/>
              </w:rPr>
            </w:pPr>
            <w:r>
              <w:rPr>
                <w:sz w:val="4"/>
                <w:szCs w:val="4"/>
              </w:rPr>
            </w:r>
          </w:p>
        </w:tc>
        <w:tc>
          <w:tcPr>
            <w:tcW w:w="1020" w:type="dxa"/>
            <w:gridSpan w:val="2"/>
            <w:tcBorders/>
            <w:vAlign w:val="center"/>
          </w:tcPr>
          <w:p>
            <w:pPr>
              <w:pStyle w:val="TableContents"/>
              <w:bidi w:val="0"/>
              <w:spacing w:before="0" w:after="283"/>
              <w:jc w:val="left"/>
              <w:rPr>
                <w:sz w:val="4"/>
                <w:szCs w:val="4"/>
              </w:rPr>
            </w:pPr>
            <w:r>
              <w:rPr>
                <w:sz w:val="4"/>
                <w:szCs w:val="4"/>
              </w:rPr>
            </w:r>
          </w:p>
        </w:tc>
        <w:tc>
          <w:tcPr>
            <w:tcW w:w="1020" w:type="dxa"/>
            <w:gridSpan w:val="2"/>
            <w:tcBorders/>
            <w:vAlign w:val="center"/>
          </w:tcPr>
          <w:p>
            <w:pPr>
              <w:pStyle w:val="TableContents"/>
              <w:bidi w:val="0"/>
              <w:spacing w:before="0" w:after="283"/>
              <w:jc w:val="left"/>
              <w:rPr>
                <w:sz w:val="4"/>
                <w:szCs w:val="4"/>
              </w:rPr>
            </w:pPr>
            <w:r>
              <w:rPr>
                <w:sz w:val="4"/>
                <w:szCs w:val="4"/>
              </w:rPr>
            </w:r>
          </w:p>
        </w:tc>
        <w:tc>
          <w:tcPr>
            <w:tcW w:w="1020" w:type="dxa"/>
            <w:gridSpan w:val="2"/>
            <w:tcBorders/>
            <w:vAlign w:val="center"/>
          </w:tcPr>
          <w:p>
            <w:pPr>
              <w:pStyle w:val="TableContents"/>
              <w:bidi w:val="0"/>
              <w:spacing w:before="0" w:after="283"/>
              <w:jc w:val="left"/>
              <w:rPr>
                <w:sz w:val="4"/>
                <w:szCs w:val="4"/>
              </w:rPr>
            </w:pPr>
            <w:r>
              <w:rPr>
                <w:sz w:val="4"/>
                <w:szCs w:val="4"/>
              </w:rPr>
            </w:r>
          </w:p>
        </w:tc>
        <w:tc>
          <w:tcPr>
            <w:tcW w:w="1020" w:type="dxa"/>
            <w:gridSpan w:val="2"/>
            <w:tcBorders/>
            <w:vAlign w:val="center"/>
          </w:tcPr>
          <w:p>
            <w:pPr>
              <w:pStyle w:val="TableContents"/>
              <w:bidi w:val="0"/>
              <w:spacing w:before="0" w:after="283"/>
              <w:jc w:val="left"/>
              <w:rPr>
                <w:sz w:val="4"/>
                <w:szCs w:val="4"/>
              </w:rPr>
            </w:pPr>
            <w:r>
              <w:rPr>
                <w:sz w:val="4"/>
                <w:szCs w:val="4"/>
              </w:rPr>
            </w:r>
          </w:p>
        </w:tc>
        <w:tc>
          <w:tcPr>
            <w:tcW w:w="1020" w:type="dxa"/>
            <w:gridSpan w:val="2"/>
            <w:tcBorders/>
            <w:vAlign w:val="center"/>
          </w:tcPr>
          <w:p>
            <w:pPr>
              <w:pStyle w:val="TableContents"/>
              <w:bidi w:val="0"/>
              <w:spacing w:before="0" w:after="283"/>
              <w:jc w:val="left"/>
              <w:rPr>
                <w:sz w:val="4"/>
                <w:szCs w:val="4"/>
              </w:rPr>
            </w:pPr>
            <w:r>
              <w:rPr>
                <w:sz w:val="4"/>
                <w:szCs w:val="4"/>
              </w:rPr>
            </w:r>
          </w:p>
        </w:tc>
        <w:tc>
          <w:tcPr>
            <w:tcW w:w="3060" w:type="dxa"/>
            <w:gridSpan w:val="6"/>
            <w:tcBorders/>
            <w:vAlign w:val="center"/>
          </w:tcPr>
          <w:p>
            <w:pPr>
              <w:pStyle w:val="TableContents"/>
              <w:bidi w:val="0"/>
              <w:spacing w:before="0" w:after="283"/>
              <w:jc w:val="left"/>
              <w:rPr>
                <w:sz w:val="4"/>
                <w:szCs w:val="4"/>
              </w:rPr>
            </w:pPr>
            <w:r>
              <w:rPr>
                <w:sz w:val="4"/>
                <w:szCs w:val="4"/>
              </w:rPr>
            </w:r>
          </w:p>
        </w:tc>
      </w:tr>
      <w:tr>
        <w:trPr/>
        <w:tc>
          <w:tcPr>
            <w:tcW w:w="2510" w:type="dxa"/>
            <w:vMerge w:val="restart"/>
            <w:tcBorders>
              <w:bottom w:val="single" w:sz="12" w:space="0" w:color="305494"/>
            </w:tcBorders>
            <w:tcMar>
              <w:bottom w:w="28" w:type="dxa"/>
            </w:tcMar>
            <w:vAlign w:val="bottom"/>
          </w:tcPr>
          <w:p>
            <w:pPr>
              <w:pStyle w:val="TableContents"/>
              <w:bidi w:val="0"/>
              <w:spacing w:before="0" w:after="283"/>
              <w:jc w:val="left"/>
              <w:rPr/>
            </w:pPr>
            <w:r>
              <w:rPr/>
              <w:t>  </w:t>
            </w:r>
          </w:p>
        </w:tc>
        <w:tc>
          <w:tcPr>
            <w:tcW w:w="60" w:type="dxa"/>
            <w:vMerge w:val="restart"/>
            <w:tcBorders>
              <w:bottom w:val="single" w:sz="12" w:space="0" w:color="305494"/>
            </w:tcBorders>
            <w:tcMar>
              <w:bottom w:w="28" w:type="dxa"/>
            </w:tcMar>
            <w:vAlign w:val="bottom"/>
          </w:tcPr>
          <w:p>
            <w:pPr>
              <w:pStyle w:val="TableContents"/>
              <w:bidi w:val="0"/>
              <w:spacing w:before="0" w:after="283"/>
              <w:jc w:val="left"/>
              <w:rPr/>
            </w:pPr>
            <w:r>
              <w:rPr/>
              <w:t> </w:t>
            </w:r>
          </w:p>
        </w:tc>
        <w:tc>
          <w:tcPr>
            <w:tcW w:w="960" w:type="dxa"/>
            <w:vMerge w:val="restart"/>
            <w:tcBorders>
              <w:bottom w:val="single" w:sz="12" w:space="0" w:color="305494"/>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Age</w:t>
            </w:r>
          </w:p>
          <w:p>
            <w:pPr>
              <w:pStyle w:val="TableContents"/>
              <w:bidi w:val="0"/>
              <w:spacing w:before="0" w:after="20"/>
              <w:jc w:val="left"/>
              <w:rPr/>
            </w:pPr>
            <w:r>
              <w:rPr/>
              <w:t> </w:t>
            </w:r>
          </w:p>
        </w:tc>
        <w:tc>
          <w:tcPr>
            <w:tcW w:w="60" w:type="dxa"/>
            <w:vMerge w:val="restart"/>
            <w:tcBorders>
              <w:bottom w:val="single" w:sz="12" w:space="0" w:color="305494"/>
            </w:tcBorders>
            <w:tcMar>
              <w:bottom w:w="28" w:type="dxa"/>
            </w:tcMar>
            <w:vAlign w:val="bottom"/>
          </w:tcPr>
          <w:p>
            <w:pPr>
              <w:pStyle w:val="TableContents"/>
              <w:bidi w:val="0"/>
              <w:spacing w:before="0" w:after="283"/>
              <w:jc w:val="left"/>
              <w:rPr/>
            </w:pPr>
            <w:r>
              <w:rPr/>
              <w:t> </w:t>
            </w:r>
          </w:p>
        </w:tc>
        <w:tc>
          <w:tcPr>
            <w:tcW w:w="2180" w:type="dxa"/>
            <w:vMerge w:val="restart"/>
            <w:tcBorders>
              <w:bottom w:val="single" w:sz="12" w:space="0" w:color="305494"/>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Position(s)</w:t>
            </w:r>
          </w:p>
          <w:p>
            <w:pPr>
              <w:pStyle w:val="TableContents"/>
              <w:bidi w:val="0"/>
              <w:spacing w:before="0" w:after="20"/>
              <w:jc w:val="left"/>
              <w:rPr/>
            </w:pPr>
            <w:r>
              <w:rPr/>
              <w:t> </w:t>
            </w:r>
          </w:p>
        </w:tc>
        <w:tc>
          <w:tcPr>
            <w:tcW w:w="60" w:type="dxa"/>
            <w:vMerge w:val="restart"/>
            <w:tcBorders>
              <w:bottom w:val="single" w:sz="12" w:space="0" w:color="305494"/>
            </w:tcBorders>
            <w:tcMar>
              <w:bottom w:w="28" w:type="dxa"/>
            </w:tcMar>
            <w:vAlign w:val="bottom"/>
          </w:tcPr>
          <w:p>
            <w:pPr>
              <w:pStyle w:val="TableContents"/>
              <w:bidi w:val="0"/>
              <w:spacing w:before="0" w:after="283"/>
              <w:jc w:val="left"/>
              <w:rPr/>
            </w:pPr>
            <w:r>
              <w:rPr/>
              <w:t> </w:t>
            </w:r>
          </w:p>
        </w:tc>
        <w:tc>
          <w:tcPr>
            <w:tcW w:w="960" w:type="dxa"/>
            <w:vMerge w:val="restart"/>
            <w:tcBorders>
              <w:bottom w:val="single" w:sz="12" w:space="0" w:color="305494"/>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Director</w:t>
              <w:br/>
              <w:t>Since</w:t>
            </w:r>
          </w:p>
          <w:p>
            <w:pPr>
              <w:pStyle w:val="TableContents"/>
              <w:bidi w:val="0"/>
              <w:spacing w:before="0" w:after="20"/>
              <w:jc w:val="left"/>
              <w:rPr/>
            </w:pPr>
            <w:r>
              <w:rPr/>
              <w:t> </w:t>
            </w:r>
          </w:p>
        </w:tc>
        <w:tc>
          <w:tcPr>
            <w:tcW w:w="60" w:type="dxa"/>
            <w:vMerge w:val="restart"/>
            <w:tcBorders>
              <w:bottom w:val="single" w:sz="12" w:space="0" w:color="305494"/>
            </w:tcBorders>
            <w:tcMar>
              <w:bottom w:w="28" w:type="dxa"/>
            </w:tcMar>
            <w:vAlign w:val="bottom"/>
          </w:tcPr>
          <w:p>
            <w:pPr>
              <w:pStyle w:val="TableContents"/>
              <w:bidi w:val="0"/>
              <w:spacing w:before="0" w:after="283"/>
              <w:jc w:val="left"/>
              <w:rPr/>
            </w:pPr>
            <w:r>
              <w:rPr/>
              <w:t> </w:t>
            </w:r>
          </w:p>
        </w:tc>
        <w:tc>
          <w:tcPr>
            <w:tcW w:w="960" w:type="dxa"/>
            <w:vMerge w:val="restart"/>
            <w:tcBorders>
              <w:bottom w:val="single" w:sz="12" w:space="0" w:color="305494"/>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Class</w:t>
            </w:r>
          </w:p>
          <w:p>
            <w:pPr>
              <w:pStyle w:val="TableContents"/>
              <w:bidi w:val="0"/>
              <w:spacing w:before="0" w:after="20"/>
              <w:jc w:val="left"/>
              <w:rPr/>
            </w:pPr>
            <w:r>
              <w:rPr/>
              <w:t> </w:t>
            </w:r>
          </w:p>
        </w:tc>
        <w:tc>
          <w:tcPr>
            <w:tcW w:w="60" w:type="dxa"/>
            <w:vMerge w:val="restart"/>
            <w:tcBorders>
              <w:bottom w:val="single" w:sz="12" w:space="0" w:color="305494"/>
            </w:tcBorders>
            <w:tcMar>
              <w:bottom w:w="28" w:type="dxa"/>
            </w:tcMar>
            <w:vAlign w:val="bottom"/>
          </w:tcPr>
          <w:p>
            <w:pPr>
              <w:pStyle w:val="TableContents"/>
              <w:bidi w:val="0"/>
              <w:spacing w:before="0" w:after="283"/>
              <w:jc w:val="left"/>
              <w:rPr/>
            </w:pPr>
            <w:r>
              <w:rPr/>
              <w:t> </w:t>
            </w:r>
          </w:p>
        </w:tc>
        <w:tc>
          <w:tcPr>
            <w:tcW w:w="960" w:type="dxa"/>
            <w:vMerge w:val="restart"/>
            <w:tcBorders>
              <w:bottom w:val="single" w:sz="12" w:space="0" w:color="305494"/>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Current</w:t>
              <w:br/>
              <w:t>Term</w:t>
              <w:br/>
              <w:t>Expires</w:t>
            </w:r>
          </w:p>
          <w:p>
            <w:pPr>
              <w:pStyle w:val="TableContents"/>
              <w:bidi w:val="0"/>
              <w:spacing w:before="0" w:after="20"/>
              <w:jc w:val="left"/>
              <w:rPr/>
            </w:pPr>
            <w:r>
              <w:rPr/>
              <w:t> </w:t>
            </w:r>
          </w:p>
        </w:tc>
        <w:tc>
          <w:tcPr>
            <w:tcW w:w="60" w:type="dxa"/>
            <w:vMerge w:val="restart"/>
            <w:tcBorders>
              <w:bottom w:val="single" w:sz="12" w:space="0" w:color="305494"/>
            </w:tcBorders>
            <w:tcMar>
              <w:bottom w:w="28" w:type="dxa"/>
            </w:tcMar>
            <w:vAlign w:val="bottom"/>
          </w:tcPr>
          <w:p>
            <w:pPr>
              <w:pStyle w:val="TableContents"/>
              <w:bidi w:val="0"/>
              <w:spacing w:before="0" w:after="283"/>
              <w:jc w:val="left"/>
              <w:rPr/>
            </w:pPr>
            <w:r>
              <w:rPr/>
              <w:t> </w:t>
            </w:r>
          </w:p>
        </w:tc>
        <w:tc>
          <w:tcPr>
            <w:tcW w:w="960" w:type="dxa"/>
            <w:vMerge w:val="restart"/>
            <w:tcBorders>
              <w:bottom w:val="single" w:sz="12" w:space="0" w:color="305494"/>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Expiration</w:t>
              <w:br/>
              <w:t>of Term for</w:t>
              <w:br/>
              <w:t>which</w:t>
              <w:br/>
              <w:t>Nominated</w:t>
            </w:r>
          </w:p>
          <w:p>
            <w:pPr>
              <w:pStyle w:val="TableContents"/>
              <w:bidi w:val="0"/>
              <w:spacing w:before="0" w:after="20"/>
              <w:jc w:val="left"/>
              <w:rPr/>
            </w:pPr>
            <w:r>
              <w:rPr/>
              <w:t> </w:t>
            </w:r>
          </w:p>
        </w:tc>
        <w:tc>
          <w:tcPr>
            <w:tcW w:w="60" w:type="dxa"/>
            <w:vMerge w:val="restart"/>
            <w:tcBorders>
              <w:bottom w:val="single" w:sz="12" w:space="0" w:color="305494"/>
            </w:tcBorders>
            <w:tcMar>
              <w:bottom w:w="28" w:type="dxa"/>
            </w:tcMar>
            <w:vAlign w:val="bottom"/>
          </w:tcPr>
          <w:p>
            <w:pPr>
              <w:pStyle w:val="TableContents"/>
              <w:bidi w:val="0"/>
              <w:spacing w:before="0" w:after="283"/>
              <w:jc w:val="left"/>
              <w:rPr/>
            </w:pPr>
            <w:r>
              <w:rPr/>
              <w:t> </w:t>
            </w:r>
          </w:p>
        </w:tc>
        <w:tc>
          <w:tcPr>
            <w:tcW w:w="960" w:type="dxa"/>
            <w:vMerge w:val="restart"/>
            <w:tcBorders>
              <w:bottom w:val="single" w:sz="12" w:space="0" w:color="305494"/>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Independent</w:t>
            </w:r>
          </w:p>
          <w:p>
            <w:pPr>
              <w:pStyle w:val="TableContents"/>
              <w:bidi w:val="0"/>
              <w:spacing w:before="0" w:after="20"/>
              <w:jc w:val="left"/>
              <w:rPr/>
            </w:pPr>
            <w:r>
              <w:rPr/>
              <w:t> </w:t>
            </w:r>
          </w:p>
        </w:tc>
        <w:tc>
          <w:tcPr>
            <w:tcW w:w="60" w:type="dxa"/>
            <w:tcBorders>
              <w:bottom w:val="single" w:sz="2" w:space="0" w:color="BFBFBF"/>
            </w:tcBorders>
            <w:tcMar>
              <w:bottom w:w="28" w:type="dxa"/>
            </w:tcMar>
            <w:vAlign w:val="bottom"/>
          </w:tcPr>
          <w:p>
            <w:pPr>
              <w:pStyle w:val="TableContents"/>
              <w:bidi w:val="0"/>
              <w:spacing w:before="0" w:after="283"/>
              <w:jc w:val="left"/>
              <w:rPr/>
            </w:pPr>
            <w:r>
              <w:rPr/>
              <w:t> </w:t>
            </w:r>
          </w:p>
        </w:tc>
        <w:tc>
          <w:tcPr>
            <w:tcW w:w="3000" w:type="dxa"/>
            <w:gridSpan w:val="5"/>
            <w:tcBorders>
              <w:bottom w:val="single" w:sz="2" w:space="0" w:color="BFBFBF"/>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Committee</w:t>
              <w:br/>
              <w:t>Membership*</w:t>
            </w:r>
          </w:p>
          <w:p>
            <w:pPr>
              <w:pStyle w:val="TableContents"/>
              <w:bidi w:val="0"/>
              <w:spacing w:before="0" w:after="20"/>
              <w:jc w:val="left"/>
              <w:rPr/>
            </w:pPr>
            <w:r>
              <w:rPr/>
              <w:t> </w:t>
            </w:r>
          </w:p>
        </w:tc>
      </w:tr>
      <w:tr>
        <w:trPr/>
        <w:tc>
          <w:tcPr>
            <w:tcW w:w="2510" w:type="dxa"/>
            <w:vMerge w:val="continue"/>
            <w:tcBorders>
              <w:bottom w:val="single" w:sz="12" w:space="0" w:color="305494"/>
            </w:tcBorders>
            <w:tcMar>
              <w:bottom w:w="28" w:type="dxa"/>
            </w:tcMar>
            <w:vAlign w:val="bottom"/>
          </w:tcPr>
          <w:p>
            <w:pPr>
              <w:pStyle w:val="Normal"/>
              <w:bidi w:val="0"/>
              <w:jc w:val="left"/>
              <w:rPr/>
            </w:pPr>
            <w:r>
              <w:rPr/>
            </w:r>
          </w:p>
        </w:tc>
        <w:tc>
          <w:tcPr>
            <w:tcW w:w="60" w:type="dxa"/>
            <w:vMerge w:val="continue"/>
            <w:tcBorders>
              <w:bottom w:val="single" w:sz="12" w:space="0" w:color="305494"/>
            </w:tcBorders>
            <w:tcMar>
              <w:bottom w:w="28" w:type="dxa"/>
            </w:tcMar>
            <w:vAlign w:val="bottom"/>
          </w:tcPr>
          <w:p>
            <w:pPr>
              <w:pStyle w:val="Normal"/>
              <w:bidi w:val="0"/>
              <w:jc w:val="left"/>
              <w:rPr/>
            </w:pPr>
            <w:r>
              <w:rPr/>
            </w:r>
          </w:p>
        </w:tc>
        <w:tc>
          <w:tcPr>
            <w:tcW w:w="960" w:type="dxa"/>
            <w:vMerge w:val="continue"/>
            <w:tcBorders>
              <w:bottom w:val="single" w:sz="12" w:space="0" w:color="305494"/>
            </w:tcBorders>
            <w:tcMar>
              <w:bottom w:w="28" w:type="dxa"/>
            </w:tcMar>
            <w:vAlign w:val="bottom"/>
          </w:tcPr>
          <w:p>
            <w:pPr>
              <w:pStyle w:val="Normal"/>
              <w:bidi w:val="0"/>
              <w:jc w:val="left"/>
              <w:rPr/>
            </w:pPr>
            <w:r>
              <w:rPr/>
            </w:r>
          </w:p>
        </w:tc>
        <w:tc>
          <w:tcPr>
            <w:tcW w:w="60" w:type="dxa"/>
            <w:vMerge w:val="continue"/>
            <w:tcBorders>
              <w:bottom w:val="single" w:sz="12" w:space="0" w:color="305494"/>
            </w:tcBorders>
            <w:tcMar>
              <w:bottom w:w="28" w:type="dxa"/>
            </w:tcMar>
            <w:vAlign w:val="bottom"/>
          </w:tcPr>
          <w:p>
            <w:pPr>
              <w:pStyle w:val="Normal"/>
              <w:bidi w:val="0"/>
              <w:jc w:val="left"/>
              <w:rPr/>
            </w:pPr>
            <w:r>
              <w:rPr/>
            </w:r>
          </w:p>
        </w:tc>
        <w:tc>
          <w:tcPr>
            <w:tcW w:w="2180" w:type="dxa"/>
            <w:vMerge w:val="continue"/>
            <w:tcBorders>
              <w:bottom w:val="single" w:sz="12" w:space="0" w:color="305494"/>
            </w:tcBorders>
            <w:tcMar>
              <w:bottom w:w="28" w:type="dxa"/>
            </w:tcMar>
            <w:vAlign w:val="bottom"/>
          </w:tcPr>
          <w:p>
            <w:pPr>
              <w:pStyle w:val="Normal"/>
              <w:bidi w:val="0"/>
              <w:jc w:val="left"/>
              <w:rPr/>
            </w:pPr>
            <w:r>
              <w:rPr/>
            </w:r>
          </w:p>
        </w:tc>
        <w:tc>
          <w:tcPr>
            <w:tcW w:w="60" w:type="dxa"/>
            <w:vMerge w:val="continue"/>
            <w:tcBorders>
              <w:bottom w:val="single" w:sz="12" w:space="0" w:color="305494"/>
            </w:tcBorders>
            <w:tcMar>
              <w:bottom w:w="28" w:type="dxa"/>
            </w:tcMar>
            <w:vAlign w:val="bottom"/>
          </w:tcPr>
          <w:p>
            <w:pPr>
              <w:pStyle w:val="Normal"/>
              <w:bidi w:val="0"/>
              <w:jc w:val="left"/>
              <w:rPr/>
            </w:pPr>
            <w:r>
              <w:rPr/>
            </w:r>
          </w:p>
        </w:tc>
        <w:tc>
          <w:tcPr>
            <w:tcW w:w="960" w:type="dxa"/>
            <w:vMerge w:val="continue"/>
            <w:tcBorders>
              <w:bottom w:val="single" w:sz="12" w:space="0" w:color="305494"/>
            </w:tcBorders>
            <w:tcMar>
              <w:bottom w:w="28" w:type="dxa"/>
            </w:tcMar>
            <w:vAlign w:val="bottom"/>
          </w:tcPr>
          <w:p>
            <w:pPr>
              <w:pStyle w:val="Normal"/>
              <w:bidi w:val="0"/>
              <w:jc w:val="left"/>
              <w:rPr/>
            </w:pPr>
            <w:r>
              <w:rPr/>
            </w:r>
          </w:p>
        </w:tc>
        <w:tc>
          <w:tcPr>
            <w:tcW w:w="60" w:type="dxa"/>
            <w:vMerge w:val="continue"/>
            <w:tcBorders>
              <w:bottom w:val="single" w:sz="12" w:space="0" w:color="305494"/>
            </w:tcBorders>
            <w:tcMar>
              <w:bottom w:w="28" w:type="dxa"/>
            </w:tcMar>
            <w:vAlign w:val="bottom"/>
          </w:tcPr>
          <w:p>
            <w:pPr>
              <w:pStyle w:val="Normal"/>
              <w:bidi w:val="0"/>
              <w:jc w:val="left"/>
              <w:rPr/>
            </w:pPr>
            <w:r>
              <w:rPr/>
            </w:r>
          </w:p>
        </w:tc>
        <w:tc>
          <w:tcPr>
            <w:tcW w:w="960" w:type="dxa"/>
            <w:vMerge w:val="continue"/>
            <w:tcBorders>
              <w:bottom w:val="single" w:sz="12" w:space="0" w:color="305494"/>
            </w:tcBorders>
            <w:tcMar>
              <w:bottom w:w="28" w:type="dxa"/>
            </w:tcMar>
            <w:vAlign w:val="bottom"/>
          </w:tcPr>
          <w:p>
            <w:pPr>
              <w:pStyle w:val="Normal"/>
              <w:bidi w:val="0"/>
              <w:jc w:val="left"/>
              <w:rPr/>
            </w:pPr>
            <w:r>
              <w:rPr/>
            </w:r>
          </w:p>
        </w:tc>
        <w:tc>
          <w:tcPr>
            <w:tcW w:w="60" w:type="dxa"/>
            <w:vMerge w:val="continue"/>
            <w:tcBorders>
              <w:bottom w:val="single" w:sz="12" w:space="0" w:color="305494"/>
            </w:tcBorders>
            <w:tcMar>
              <w:bottom w:w="28" w:type="dxa"/>
            </w:tcMar>
            <w:vAlign w:val="bottom"/>
          </w:tcPr>
          <w:p>
            <w:pPr>
              <w:pStyle w:val="Normal"/>
              <w:bidi w:val="0"/>
              <w:jc w:val="left"/>
              <w:rPr/>
            </w:pPr>
            <w:r>
              <w:rPr/>
            </w:r>
          </w:p>
        </w:tc>
        <w:tc>
          <w:tcPr>
            <w:tcW w:w="960" w:type="dxa"/>
            <w:vMerge w:val="continue"/>
            <w:tcBorders>
              <w:bottom w:val="single" w:sz="12" w:space="0" w:color="305494"/>
            </w:tcBorders>
            <w:tcMar>
              <w:bottom w:w="28" w:type="dxa"/>
            </w:tcMar>
            <w:vAlign w:val="bottom"/>
          </w:tcPr>
          <w:p>
            <w:pPr>
              <w:pStyle w:val="Normal"/>
              <w:bidi w:val="0"/>
              <w:jc w:val="left"/>
              <w:rPr/>
            </w:pPr>
            <w:r>
              <w:rPr/>
            </w:r>
          </w:p>
        </w:tc>
        <w:tc>
          <w:tcPr>
            <w:tcW w:w="60" w:type="dxa"/>
            <w:vMerge w:val="continue"/>
            <w:tcBorders>
              <w:bottom w:val="single" w:sz="12" w:space="0" w:color="305494"/>
            </w:tcBorders>
            <w:tcMar>
              <w:bottom w:w="28" w:type="dxa"/>
            </w:tcMar>
            <w:vAlign w:val="bottom"/>
          </w:tcPr>
          <w:p>
            <w:pPr>
              <w:pStyle w:val="Normal"/>
              <w:bidi w:val="0"/>
              <w:jc w:val="left"/>
              <w:rPr/>
            </w:pPr>
            <w:r>
              <w:rPr/>
            </w:r>
          </w:p>
        </w:tc>
        <w:tc>
          <w:tcPr>
            <w:tcW w:w="960" w:type="dxa"/>
            <w:vMerge w:val="continue"/>
            <w:tcBorders>
              <w:bottom w:val="single" w:sz="12" w:space="0" w:color="305494"/>
            </w:tcBorders>
            <w:tcMar>
              <w:bottom w:w="28" w:type="dxa"/>
            </w:tcMar>
            <w:vAlign w:val="bottom"/>
          </w:tcPr>
          <w:p>
            <w:pPr>
              <w:pStyle w:val="Normal"/>
              <w:bidi w:val="0"/>
              <w:jc w:val="left"/>
              <w:rPr/>
            </w:pPr>
            <w:r>
              <w:rPr/>
            </w:r>
          </w:p>
        </w:tc>
        <w:tc>
          <w:tcPr>
            <w:tcW w:w="60" w:type="dxa"/>
            <w:vMerge w:val="continue"/>
            <w:tcBorders>
              <w:bottom w:val="single" w:sz="12" w:space="0" w:color="305494"/>
            </w:tcBorders>
            <w:tcMar>
              <w:bottom w:w="28" w:type="dxa"/>
            </w:tcMar>
            <w:vAlign w:val="bottom"/>
          </w:tcPr>
          <w:p>
            <w:pPr>
              <w:pStyle w:val="Normal"/>
              <w:bidi w:val="0"/>
              <w:jc w:val="left"/>
              <w:rPr/>
            </w:pPr>
            <w:r>
              <w:rPr/>
            </w:r>
          </w:p>
        </w:tc>
        <w:tc>
          <w:tcPr>
            <w:tcW w:w="960" w:type="dxa"/>
            <w:vMerge w:val="continue"/>
            <w:tcBorders>
              <w:bottom w:val="single" w:sz="12" w:space="0" w:color="305494"/>
            </w:tcBorders>
            <w:tcMar>
              <w:bottom w:w="28" w:type="dxa"/>
            </w:tcMar>
            <w:vAlign w:val="bottom"/>
          </w:tcPr>
          <w:p>
            <w:pPr>
              <w:pStyle w:val="Normal"/>
              <w:bidi w:val="0"/>
              <w:jc w:val="left"/>
              <w:rPr/>
            </w:pPr>
            <w:r>
              <w:rPr/>
            </w:r>
          </w:p>
        </w:tc>
        <w:tc>
          <w:tcPr>
            <w:tcW w:w="60" w:type="dxa"/>
            <w:tcBorders>
              <w:bottom w:val="single" w:sz="12" w:space="0" w:color="305494"/>
            </w:tcBorders>
            <w:tcMar>
              <w:bottom w:w="28" w:type="dxa"/>
            </w:tcMar>
            <w:vAlign w:val="bottom"/>
          </w:tcPr>
          <w:p>
            <w:pPr>
              <w:pStyle w:val="TableContents"/>
              <w:bidi w:val="0"/>
              <w:spacing w:before="0" w:after="283"/>
              <w:jc w:val="left"/>
              <w:rPr/>
            </w:pPr>
            <w:r>
              <w:rPr/>
              <w:t> </w:t>
            </w:r>
          </w:p>
        </w:tc>
        <w:tc>
          <w:tcPr>
            <w:tcW w:w="960" w:type="dxa"/>
            <w:tcBorders>
              <w:bottom w:val="single" w:sz="12" w:space="0" w:color="305494"/>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AC</w:t>
            </w:r>
          </w:p>
          <w:p>
            <w:pPr>
              <w:pStyle w:val="TableContents"/>
              <w:bidi w:val="0"/>
              <w:spacing w:before="0" w:after="20"/>
              <w:jc w:val="left"/>
              <w:rPr/>
            </w:pPr>
            <w:r>
              <w:rPr/>
              <w:t> </w:t>
            </w:r>
          </w:p>
        </w:tc>
        <w:tc>
          <w:tcPr>
            <w:tcW w:w="60" w:type="dxa"/>
            <w:tcBorders>
              <w:bottom w:val="single" w:sz="12" w:space="0" w:color="305494"/>
            </w:tcBorders>
            <w:tcMar>
              <w:bottom w:w="28" w:type="dxa"/>
            </w:tcMar>
            <w:vAlign w:val="bottom"/>
          </w:tcPr>
          <w:p>
            <w:pPr>
              <w:pStyle w:val="TableContents"/>
              <w:bidi w:val="0"/>
              <w:spacing w:before="0" w:after="283"/>
              <w:jc w:val="left"/>
              <w:rPr/>
            </w:pPr>
            <w:r>
              <w:rPr/>
              <w:t> </w:t>
            </w:r>
          </w:p>
        </w:tc>
        <w:tc>
          <w:tcPr>
            <w:tcW w:w="960" w:type="dxa"/>
            <w:tcBorders>
              <w:bottom w:val="single" w:sz="12" w:space="0" w:color="305494"/>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CC</w:t>
            </w:r>
          </w:p>
          <w:p>
            <w:pPr>
              <w:pStyle w:val="TableContents"/>
              <w:bidi w:val="0"/>
              <w:spacing w:before="0" w:after="20"/>
              <w:jc w:val="left"/>
              <w:rPr/>
            </w:pPr>
            <w:r>
              <w:rPr/>
              <w:t> </w:t>
            </w:r>
          </w:p>
        </w:tc>
        <w:tc>
          <w:tcPr>
            <w:tcW w:w="60" w:type="dxa"/>
            <w:tcBorders>
              <w:bottom w:val="single" w:sz="12" w:space="0" w:color="305494"/>
            </w:tcBorders>
            <w:tcMar>
              <w:bottom w:w="28" w:type="dxa"/>
            </w:tcMar>
            <w:vAlign w:val="bottom"/>
          </w:tcPr>
          <w:p>
            <w:pPr>
              <w:pStyle w:val="TableContents"/>
              <w:bidi w:val="0"/>
              <w:spacing w:before="0" w:after="283"/>
              <w:jc w:val="left"/>
              <w:rPr/>
            </w:pPr>
            <w:r>
              <w:rPr/>
              <w:t> </w:t>
            </w:r>
          </w:p>
        </w:tc>
        <w:tc>
          <w:tcPr>
            <w:tcW w:w="960" w:type="dxa"/>
            <w:tcBorders>
              <w:bottom w:val="single" w:sz="12" w:space="0" w:color="305494"/>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NCG</w:t>
            </w:r>
          </w:p>
          <w:p>
            <w:pPr>
              <w:pStyle w:val="TableContents"/>
              <w:bidi w:val="0"/>
              <w:spacing w:before="0" w:after="20"/>
              <w:jc w:val="left"/>
              <w:rPr/>
            </w:pPr>
            <w:r>
              <w:rPr/>
              <w:t> </w:t>
            </w:r>
          </w:p>
        </w:tc>
      </w:tr>
      <w:tr>
        <w:trPr>
          <w:trHeight w:val="60" w:hRule="atLeast"/>
        </w:trPr>
        <w:tc>
          <w:tcPr>
            <w:tcW w:w="13930" w:type="dxa"/>
            <w:gridSpan w:val="21"/>
            <w:tcBorders/>
            <w:vAlign w:val="center"/>
          </w:tcPr>
          <w:p>
            <w:pPr>
              <w:pStyle w:val="TableContents"/>
              <w:bidi w:val="0"/>
              <w:spacing w:before="0" w:after="283"/>
              <w:jc w:val="left"/>
              <w:rPr>
                <w:sz w:val="4"/>
                <w:szCs w:val="4"/>
              </w:rPr>
            </w:pPr>
            <w:r>
              <w:rPr>
                <w:sz w:val="4"/>
                <w:szCs w:val="4"/>
              </w:rPr>
            </w:r>
          </w:p>
        </w:tc>
      </w:tr>
      <w:tr>
        <w:trPr/>
        <w:tc>
          <w:tcPr>
            <w:tcW w:w="13930" w:type="dxa"/>
            <w:gridSpan w:val="21"/>
            <w:tcBorders>
              <w:bottom w:val="single" w:sz="2" w:space="0" w:color="305494"/>
            </w:tcBorders>
            <w:tcMar>
              <w:bottom w:w="40" w:type="dxa"/>
            </w:tcMar>
            <w:vAlign w:val="center"/>
          </w:tcPr>
          <w:p>
            <w:pPr>
              <w:pStyle w:val="TableContents"/>
              <w:bidi w:val="0"/>
              <w:spacing w:before="0" w:after="283"/>
              <w:jc w:val="left"/>
              <w:rPr>
                <w:rFonts w:ascii="Times New Roman" w:hAnsi="Times New Roman"/>
                <w:b/>
                <w:color w:val="305494"/>
              </w:rPr>
            </w:pPr>
            <w:r>
              <w:rPr>
                <w:rFonts w:ascii="Times New Roman" w:hAnsi="Times New Roman"/>
                <w:b/>
                <w:color w:val="305494"/>
              </w:rPr>
              <w:t>DIRECTOR NOMINEES</w:t>
            </w:r>
          </w:p>
        </w:tc>
      </w:tr>
      <w:tr>
        <w:trPr>
          <w:trHeight w:val="60" w:hRule="atLeast"/>
        </w:trPr>
        <w:tc>
          <w:tcPr>
            <w:tcW w:w="2510" w:type="dxa"/>
            <w:tcBorders>
              <w:right w:val="single" w:sz="2" w:space="0" w:color="305494"/>
            </w:tcBorders>
            <w:tcMar>
              <w:right w:w="28" w:type="dxa"/>
            </w:tcMar>
            <w:vAlign w:val="center"/>
          </w:tcPr>
          <w:p>
            <w:pPr>
              <w:pStyle w:val="TableContents"/>
              <w:bidi w:val="0"/>
              <w:spacing w:before="0" w:after="283"/>
              <w:jc w:val="left"/>
              <w:rPr/>
            </w:pPr>
            <w:r>
              <w:rPr/>
              <w:t> </w:t>
            </w:r>
          </w:p>
        </w:tc>
        <w:tc>
          <w:tcPr>
            <w:tcW w:w="1020" w:type="dxa"/>
            <w:gridSpan w:val="2"/>
            <w:tcBorders/>
            <w:vAlign w:val="center"/>
          </w:tcPr>
          <w:p>
            <w:pPr>
              <w:pStyle w:val="TableContents"/>
              <w:bidi w:val="0"/>
              <w:spacing w:before="0" w:after="283"/>
              <w:jc w:val="left"/>
              <w:rPr>
                <w:sz w:val="4"/>
                <w:szCs w:val="4"/>
              </w:rPr>
            </w:pPr>
            <w:r>
              <w:rPr>
                <w:sz w:val="4"/>
                <w:szCs w:val="4"/>
              </w:rPr>
            </w:r>
          </w:p>
        </w:tc>
        <w:tc>
          <w:tcPr>
            <w:tcW w:w="224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r>
      <w:tr>
        <w:trPr/>
        <w:tc>
          <w:tcPr>
            <w:tcW w:w="2510" w:type="dxa"/>
            <w:tcBorders>
              <w:bottom w:val="single" w:sz="2" w:space="0" w:color="305494"/>
              <w:right w:val="single" w:sz="2" w:space="0" w:color="305494"/>
            </w:tcBorders>
            <w:tcMar>
              <w:bottom w:w="40" w:type="dxa"/>
              <w:right w:w="28" w:type="dxa"/>
            </w:tcMar>
            <w:vAlign w:val="center"/>
          </w:tcPr>
          <w:p>
            <w:pPr>
              <w:pStyle w:val="TableContents"/>
              <w:bidi w:val="0"/>
              <w:spacing w:before="0" w:after="283"/>
              <w:jc w:val="left"/>
              <w:rPr>
                <w:rFonts w:ascii="Times New Roman" w:hAnsi="Times New Roman"/>
              </w:rPr>
            </w:pPr>
            <w:r>
              <w:rPr>
                <w:rFonts w:ascii="Times New Roman" w:hAnsi="Times New Roman"/>
              </w:rPr>
              <w:t>Jon Faiz Kayyem, Ph.D.</w:t>
            </w:r>
          </w:p>
        </w:tc>
        <w:tc>
          <w:tcPr>
            <w:tcW w:w="60" w:type="dxa"/>
            <w:tcBorders>
              <w:bottom w:val="single" w:sz="2" w:space="0" w:color="305494"/>
            </w:tcBorders>
            <w:tcMar>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60</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2180" w:type="dxa"/>
            <w:tcBorders>
              <w:bottom w:val="single" w:sz="2"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Director</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2021</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2024</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2027</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Yes</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X</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rHeight w:val="60" w:hRule="atLeast"/>
        </w:trPr>
        <w:tc>
          <w:tcPr>
            <w:tcW w:w="2510" w:type="dxa"/>
            <w:tcBorders>
              <w:right w:val="single" w:sz="2" w:space="0" w:color="305494"/>
            </w:tcBorders>
            <w:tcMar>
              <w:right w:w="28" w:type="dxa"/>
            </w:tcMar>
            <w:vAlign w:val="center"/>
          </w:tcPr>
          <w:p>
            <w:pPr>
              <w:pStyle w:val="TableContents"/>
              <w:bidi w:val="0"/>
              <w:spacing w:before="0" w:after="283"/>
              <w:jc w:val="left"/>
              <w:rPr/>
            </w:pPr>
            <w:r>
              <w:rPr/>
              <w:t> </w:t>
            </w:r>
          </w:p>
        </w:tc>
        <w:tc>
          <w:tcPr>
            <w:tcW w:w="1020" w:type="dxa"/>
            <w:gridSpan w:val="2"/>
            <w:tcBorders/>
            <w:vAlign w:val="center"/>
          </w:tcPr>
          <w:p>
            <w:pPr>
              <w:pStyle w:val="TableContents"/>
              <w:bidi w:val="0"/>
              <w:spacing w:before="0" w:after="283"/>
              <w:jc w:val="left"/>
              <w:rPr>
                <w:sz w:val="4"/>
                <w:szCs w:val="4"/>
              </w:rPr>
            </w:pPr>
            <w:r>
              <w:rPr>
                <w:sz w:val="4"/>
                <w:szCs w:val="4"/>
              </w:rPr>
            </w:r>
          </w:p>
        </w:tc>
        <w:tc>
          <w:tcPr>
            <w:tcW w:w="224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r>
      <w:tr>
        <w:trPr/>
        <w:tc>
          <w:tcPr>
            <w:tcW w:w="2510" w:type="dxa"/>
            <w:tcBorders>
              <w:bottom w:val="single" w:sz="2" w:space="0" w:color="305494"/>
              <w:right w:val="single" w:sz="2" w:space="0" w:color="305494"/>
            </w:tcBorders>
            <w:tcMar>
              <w:bottom w:w="40" w:type="dxa"/>
              <w:right w:w="28" w:type="dxa"/>
            </w:tcMar>
            <w:vAlign w:val="center"/>
          </w:tcPr>
          <w:p>
            <w:pPr>
              <w:pStyle w:val="TableContents"/>
              <w:bidi w:val="0"/>
              <w:spacing w:before="0" w:after="283"/>
              <w:jc w:val="left"/>
              <w:rPr>
                <w:rFonts w:ascii="Times New Roman" w:hAnsi="Times New Roman"/>
              </w:rPr>
            </w:pPr>
            <w:r>
              <w:rPr>
                <w:rFonts w:ascii="Times New Roman" w:hAnsi="Times New Roman"/>
              </w:rPr>
              <w:t>Scott Hutton</w:t>
            </w:r>
          </w:p>
        </w:tc>
        <w:tc>
          <w:tcPr>
            <w:tcW w:w="60" w:type="dxa"/>
            <w:tcBorders>
              <w:bottom w:val="single" w:sz="2" w:space="0" w:color="305494"/>
            </w:tcBorders>
            <w:tcMar>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52</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2180" w:type="dxa"/>
            <w:tcBorders>
              <w:bottom w:val="single" w:sz="2"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President,</w:t>
              <w:br/>
              <w:t>Chief Executive</w:t>
              <w:br/>
              <w:t>Officer and Director </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2020</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2024</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2027</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No</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rHeight w:val="60" w:hRule="atLeast"/>
        </w:trPr>
        <w:tc>
          <w:tcPr>
            <w:tcW w:w="2510" w:type="dxa"/>
            <w:tcBorders>
              <w:right w:val="single" w:sz="2" w:space="0" w:color="305494"/>
            </w:tcBorders>
            <w:tcMar>
              <w:right w:w="28" w:type="dxa"/>
            </w:tcMar>
            <w:vAlign w:val="center"/>
          </w:tcPr>
          <w:p>
            <w:pPr>
              <w:pStyle w:val="TableContents"/>
              <w:bidi w:val="0"/>
              <w:spacing w:before="0" w:after="283"/>
              <w:jc w:val="left"/>
              <w:rPr/>
            </w:pPr>
            <w:r>
              <w:rPr/>
              <w:t> </w:t>
            </w:r>
          </w:p>
        </w:tc>
        <w:tc>
          <w:tcPr>
            <w:tcW w:w="1020" w:type="dxa"/>
            <w:gridSpan w:val="2"/>
            <w:tcBorders/>
            <w:vAlign w:val="center"/>
          </w:tcPr>
          <w:p>
            <w:pPr>
              <w:pStyle w:val="TableContents"/>
              <w:bidi w:val="0"/>
              <w:spacing w:before="0" w:after="283"/>
              <w:jc w:val="left"/>
              <w:rPr>
                <w:sz w:val="4"/>
                <w:szCs w:val="4"/>
              </w:rPr>
            </w:pPr>
            <w:r>
              <w:rPr>
                <w:sz w:val="4"/>
                <w:szCs w:val="4"/>
              </w:rPr>
            </w:r>
          </w:p>
        </w:tc>
        <w:tc>
          <w:tcPr>
            <w:tcW w:w="224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r>
      <w:tr>
        <w:trPr/>
        <w:tc>
          <w:tcPr>
            <w:tcW w:w="2510" w:type="dxa"/>
            <w:tcBorders>
              <w:bottom w:val="single" w:sz="2" w:space="0" w:color="305494"/>
              <w:right w:val="single" w:sz="2" w:space="0" w:color="305494"/>
            </w:tcBorders>
            <w:tcMar>
              <w:bottom w:w="40" w:type="dxa"/>
              <w:right w:w="28" w:type="dxa"/>
            </w:tcMar>
            <w:vAlign w:val="center"/>
          </w:tcPr>
          <w:p>
            <w:pPr>
              <w:pStyle w:val="TableContents"/>
              <w:bidi w:val="0"/>
              <w:spacing w:before="0" w:after="283"/>
              <w:jc w:val="left"/>
              <w:rPr>
                <w:rFonts w:ascii="Times New Roman" w:hAnsi="Times New Roman"/>
              </w:rPr>
            </w:pPr>
            <w:r>
              <w:rPr>
                <w:rFonts w:ascii="Times New Roman" w:hAnsi="Times New Roman"/>
              </w:rPr>
              <w:t>John Patience</w:t>
            </w:r>
          </w:p>
        </w:tc>
        <w:tc>
          <w:tcPr>
            <w:tcW w:w="60" w:type="dxa"/>
            <w:tcBorders>
              <w:bottom w:val="single" w:sz="2" w:space="0" w:color="305494"/>
            </w:tcBorders>
            <w:tcMar>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76</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2180" w:type="dxa"/>
            <w:tcBorders>
              <w:bottom w:val="single" w:sz="2"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Chairman of the</w:t>
              <w:br/>
              <w:t>Board</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2008</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2024</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2027</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Yes</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X</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rHeight w:val="60" w:hRule="atLeast"/>
        </w:trPr>
        <w:tc>
          <w:tcPr>
            <w:tcW w:w="13930" w:type="dxa"/>
            <w:gridSpan w:val="21"/>
            <w:tcBorders/>
            <w:vAlign w:val="center"/>
          </w:tcPr>
          <w:p>
            <w:pPr>
              <w:pStyle w:val="TableContents"/>
              <w:bidi w:val="0"/>
              <w:spacing w:before="0" w:after="283"/>
              <w:jc w:val="left"/>
              <w:rPr>
                <w:sz w:val="4"/>
                <w:szCs w:val="4"/>
              </w:rPr>
            </w:pPr>
            <w:r>
              <w:rPr>
                <w:sz w:val="4"/>
                <w:szCs w:val="4"/>
              </w:rPr>
            </w:r>
          </w:p>
        </w:tc>
      </w:tr>
      <w:tr>
        <w:trPr/>
        <w:tc>
          <w:tcPr>
            <w:tcW w:w="13930" w:type="dxa"/>
            <w:gridSpan w:val="21"/>
            <w:tcBorders>
              <w:bottom w:val="single" w:sz="2" w:space="0" w:color="305494"/>
            </w:tcBorders>
            <w:tcMar>
              <w:bottom w:w="40" w:type="dxa"/>
            </w:tcMar>
            <w:vAlign w:val="center"/>
          </w:tcPr>
          <w:p>
            <w:pPr>
              <w:pStyle w:val="TableContents"/>
              <w:bidi w:val="0"/>
              <w:spacing w:before="0" w:after="283"/>
              <w:jc w:val="left"/>
              <w:rPr>
                <w:rFonts w:ascii="Times New Roman" w:hAnsi="Times New Roman"/>
                <w:b/>
                <w:color w:val="305494"/>
              </w:rPr>
            </w:pPr>
            <w:r>
              <w:rPr>
                <w:rFonts w:ascii="Times New Roman" w:hAnsi="Times New Roman"/>
                <w:b/>
                <w:color w:val="305494"/>
              </w:rPr>
              <w:t>CONTINUING DIRECTORS</w:t>
            </w:r>
          </w:p>
        </w:tc>
      </w:tr>
      <w:tr>
        <w:trPr>
          <w:trHeight w:val="60" w:hRule="atLeast"/>
        </w:trPr>
        <w:tc>
          <w:tcPr>
            <w:tcW w:w="2510" w:type="dxa"/>
            <w:tcBorders>
              <w:right w:val="single" w:sz="2" w:space="0" w:color="305494"/>
            </w:tcBorders>
            <w:tcMar>
              <w:right w:w="28" w:type="dxa"/>
            </w:tcMar>
            <w:vAlign w:val="center"/>
          </w:tcPr>
          <w:p>
            <w:pPr>
              <w:pStyle w:val="TableContents"/>
              <w:bidi w:val="0"/>
              <w:spacing w:before="0" w:after="283"/>
              <w:jc w:val="left"/>
              <w:rPr/>
            </w:pPr>
            <w:r>
              <w:rPr/>
              <w:t> </w:t>
            </w:r>
          </w:p>
        </w:tc>
        <w:tc>
          <w:tcPr>
            <w:tcW w:w="1020" w:type="dxa"/>
            <w:gridSpan w:val="2"/>
            <w:tcBorders/>
            <w:vAlign w:val="center"/>
          </w:tcPr>
          <w:p>
            <w:pPr>
              <w:pStyle w:val="TableContents"/>
              <w:bidi w:val="0"/>
              <w:spacing w:before="0" w:after="283"/>
              <w:jc w:val="left"/>
              <w:rPr>
                <w:sz w:val="4"/>
                <w:szCs w:val="4"/>
              </w:rPr>
            </w:pPr>
            <w:r>
              <w:rPr>
                <w:sz w:val="4"/>
                <w:szCs w:val="4"/>
              </w:rPr>
            </w:r>
          </w:p>
        </w:tc>
        <w:tc>
          <w:tcPr>
            <w:tcW w:w="224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r>
      <w:tr>
        <w:trPr/>
        <w:tc>
          <w:tcPr>
            <w:tcW w:w="2510" w:type="dxa"/>
            <w:tcBorders>
              <w:bottom w:val="single" w:sz="2" w:space="0" w:color="305494"/>
              <w:right w:val="single" w:sz="2" w:space="0" w:color="305494"/>
            </w:tcBorders>
            <w:tcMar>
              <w:bottom w:w="40" w:type="dxa"/>
              <w:right w:w="28" w:type="dxa"/>
            </w:tcMar>
            <w:vAlign w:val="center"/>
          </w:tcPr>
          <w:p>
            <w:pPr>
              <w:pStyle w:val="TableContents"/>
              <w:bidi w:val="0"/>
              <w:spacing w:before="0" w:after="283"/>
              <w:jc w:val="left"/>
              <w:rPr>
                <w:rFonts w:ascii="Times New Roman" w:hAnsi="Times New Roman"/>
              </w:rPr>
            </w:pPr>
            <w:r>
              <w:rPr>
                <w:rFonts w:ascii="Times New Roman" w:hAnsi="Times New Roman"/>
              </w:rPr>
              <w:t>Lawrence T. Kennedy, Jr.</w:t>
            </w:r>
          </w:p>
        </w:tc>
        <w:tc>
          <w:tcPr>
            <w:tcW w:w="60" w:type="dxa"/>
            <w:tcBorders>
              <w:bottom w:val="single" w:sz="2" w:space="0" w:color="305494"/>
            </w:tcBorders>
            <w:tcMar>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52</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2180" w:type="dxa"/>
            <w:tcBorders>
              <w:bottom w:val="single" w:sz="2"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Director</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2023</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II</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2025</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Yes</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X</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rHeight w:val="60" w:hRule="atLeast"/>
        </w:trPr>
        <w:tc>
          <w:tcPr>
            <w:tcW w:w="2510" w:type="dxa"/>
            <w:tcBorders>
              <w:right w:val="single" w:sz="2" w:space="0" w:color="305494"/>
            </w:tcBorders>
            <w:tcMar>
              <w:right w:w="28" w:type="dxa"/>
            </w:tcMar>
            <w:vAlign w:val="center"/>
          </w:tcPr>
          <w:p>
            <w:pPr>
              <w:pStyle w:val="TableContents"/>
              <w:bidi w:val="0"/>
              <w:spacing w:before="0" w:after="283"/>
              <w:jc w:val="left"/>
              <w:rPr/>
            </w:pPr>
            <w:r>
              <w:rPr/>
              <w:t> </w:t>
            </w:r>
          </w:p>
        </w:tc>
        <w:tc>
          <w:tcPr>
            <w:tcW w:w="1020" w:type="dxa"/>
            <w:gridSpan w:val="2"/>
            <w:tcBorders/>
            <w:vAlign w:val="center"/>
          </w:tcPr>
          <w:p>
            <w:pPr>
              <w:pStyle w:val="TableContents"/>
              <w:bidi w:val="0"/>
              <w:spacing w:before="0" w:after="283"/>
              <w:jc w:val="left"/>
              <w:rPr>
                <w:sz w:val="4"/>
                <w:szCs w:val="4"/>
              </w:rPr>
            </w:pPr>
            <w:r>
              <w:rPr>
                <w:sz w:val="4"/>
                <w:szCs w:val="4"/>
              </w:rPr>
            </w:r>
          </w:p>
        </w:tc>
        <w:tc>
          <w:tcPr>
            <w:tcW w:w="224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r>
      <w:tr>
        <w:trPr/>
        <w:tc>
          <w:tcPr>
            <w:tcW w:w="2510" w:type="dxa"/>
            <w:tcBorders>
              <w:bottom w:val="single" w:sz="2" w:space="0" w:color="305494"/>
              <w:right w:val="single" w:sz="2" w:space="0" w:color="305494"/>
            </w:tcBorders>
            <w:tcMar>
              <w:bottom w:w="40" w:type="dxa"/>
              <w:right w:w="28" w:type="dxa"/>
            </w:tcMar>
            <w:vAlign w:val="center"/>
          </w:tcPr>
          <w:p>
            <w:pPr>
              <w:pStyle w:val="TableContents"/>
              <w:bidi w:val="0"/>
              <w:spacing w:before="0" w:after="283"/>
              <w:jc w:val="left"/>
              <w:rPr>
                <w:rFonts w:ascii="Times New Roman" w:hAnsi="Times New Roman"/>
              </w:rPr>
            </w:pPr>
            <w:r>
              <w:rPr>
                <w:rFonts w:ascii="Times New Roman" w:hAnsi="Times New Roman"/>
              </w:rPr>
              <w:t>Matthew Strobeck, Ph.D.</w:t>
            </w:r>
          </w:p>
        </w:tc>
        <w:tc>
          <w:tcPr>
            <w:tcW w:w="60" w:type="dxa"/>
            <w:tcBorders>
              <w:bottom w:val="single" w:sz="2" w:space="0" w:color="305494"/>
            </w:tcBorders>
            <w:tcMar>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51</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2180" w:type="dxa"/>
            <w:tcBorders>
              <w:bottom w:val="single" w:sz="2"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Director</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2012</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II</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2025</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Yes</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X</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Chair</w:t>
            </w:r>
          </w:p>
        </w:tc>
      </w:tr>
      <w:tr>
        <w:trPr>
          <w:trHeight w:val="60" w:hRule="atLeast"/>
        </w:trPr>
        <w:tc>
          <w:tcPr>
            <w:tcW w:w="2510" w:type="dxa"/>
            <w:tcBorders>
              <w:right w:val="single" w:sz="2" w:space="0" w:color="305494"/>
            </w:tcBorders>
            <w:tcMar>
              <w:right w:w="28" w:type="dxa"/>
            </w:tcMar>
            <w:vAlign w:val="center"/>
          </w:tcPr>
          <w:p>
            <w:pPr>
              <w:pStyle w:val="TableContents"/>
              <w:bidi w:val="0"/>
              <w:spacing w:before="0" w:after="283"/>
              <w:jc w:val="left"/>
              <w:rPr/>
            </w:pPr>
            <w:r>
              <w:rPr/>
              <w:t> </w:t>
            </w:r>
          </w:p>
        </w:tc>
        <w:tc>
          <w:tcPr>
            <w:tcW w:w="1020" w:type="dxa"/>
            <w:gridSpan w:val="2"/>
            <w:tcBorders/>
            <w:vAlign w:val="center"/>
          </w:tcPr>
          <w:p>
            <w:pPr>
              <w:pStyle w:val="TableContents"/>
              <w:bidi w:val="0"/>
              <w:spacing w:before="0" w:after="283"/>
              <w:jc w:val="left"/>
              <w:rPr>
                <w:sz w:val="4"/>
                <w:szCs w:val="4"/>
              </w:rPr>
            </w:pPr>
            <w:r>
              <w:rPr>
                <w:sz w:val="4"/>
                <w:szCs w:val="4"/>
              </w:rPr>
            </w:r>
          </w:p>
        </w:tc>
        <w:tc>
          <w:tcPr>
            <w:tcW w:w="224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r>
      <w:tr>
        <w:trPr/>
        <w:tc>
          <w:tcPr>
            <w:tcW w:w="2510" w:type="dxa"/>
            <w:tcBorders>
              <w:bottom w:val="single" w:sz="2" w:space="0" w:color="305494"/>
              <w:right w:val="single" w:sz="2" w:space="0" w:color="305494"/>
            </w:tcBorders>
            <w:tcMar>
              <w:bottom w:w="40" w:type="dxa"/>
              <w:right w:w="28" w:type="dxa"/>
            </w:tcMar>
            <w:vAlign w:val="center"/>
          </w:tcPr>
          <w:p>
            <w:pPr>
              <w:pStyle w:val="TableContents"/>
              <w:bidi w:val="0"/>
              <w:spacing w:before="0" w:after="283"/>
              <w:jc w:val="left"/>
              <w:rPr>
                <w:rFonts w:ascii="Times New Roman" w:hAnsi="Times New Roman"/>
              </w:rPr>
            </w:pPr>
            <w:r>
              <w:rPr>
                <w:rFonts w:ascii="Times New Roman" w:hAnsi="Times New Roman"/>
              </w:rPr>
              <w:t>Charles Watts, M.D.</w:t>
            </w:r>
          </w:p>
        </w:tc>
        <w:tc>
          <w:tcPr>
            <w:tcW w:w="60" w:type="dxa"/>
            <w:tcBorders>
              <w:bottom w:val="single" w:sz="2" w:space="0" w:color="305494"/>
            </w:tcBorders>
            <w:tcMar>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81</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2180" w:type="dxa"/>
            <w:tcBorders>
              <w:bottom w:val="single" w:sz="2"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Director</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2019</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II</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2025</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Yes</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X</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rHeight w:val="60" w:hRule="atLeast"/>
        </w:trPr>
        <w:tc>
          <w:tcPr>
            <w:tcW w:w="2510" w:type="dxa"/>
            <w:tcBorders>
              <w:right w:val="single" w:sz="2" w:space="0" w:color="305494"/>
            </w:tcBorders>
            <w:tcMar>
              <w:right w:w="28" w:type="dxa"/>
            </w:tcMar>
            <w:vAlign w:val="center"/>
          </w:tcPr>
          <w:p>
            <w:pPr>
              <w:pStyle w:val="TableContents"/>
              <w:bidi w:val="0"/>
              <w:spacing w:before="0" w:after="283"/>
              <w:jc w:val="left"/>
              <w:rPr/>
            </w:pPr>
            <w:r>
              <w:rPr/>
              <w:t> </w:t>
            </w:r>
          </w:p>
        </w:tc>
        <w:tc>
          <w:tcPr>
            <w:tcW w:w="1020" w:type="dxa"/>
            <w:gridSpan w:val="2"/>
            <w:tcBorders/>
            <w:vAlign w:val="center"/>
          </w:tcPr>
          <w:p>
            <w:pPr>
              <w:pStyle w:val="TableContents"/>
              <w:bidi w:val="0"/>
              <w:spacing w:before="0" w:after="283"/>
              <w:jc w:val="left"/>
              <w:rPr>
                <w:sz w:val="4"/>
                <w:szCs w:val="4"/>
              </w:rPr>
            </w:pPr>
            <w:r>
              <w:rPr>
                <w:sz w:val="4"/>
                <w:szCs w:val="4"/>
              </w:rPr>
            </w:r>
          </w:p>
        </w:tc>
        <w:tc>
          <w:tcPr>
            <w:tcW w:w="224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r>
      <w:tr>
        <w:trPr/>
        <w:tc>
          <w:tcPr>
            <w:tcW w:w="2510" w:type="dxa"/>
            <w:tcBorders>
              <w:bottom w:val="single" w:sz="2" w:space="0" w:color="305494"/>
              <w:right w:val="single" w:sz="2" w:space="0" w:color="305494"/>
            </w:tcBorders>
            <w:tcMar>
              <w:bottom w:w="40" w:type="dxa"/>
              <w:right w:w="28" w:type="dxa"/>
            </w:tcMar>
            <w:vAlign w:val="center"/>
          </w:tcPr>
          <w:p>
            <w:pPr>
              <w:pStyle w:val="TableContents"/>
              <w:bidi w:val="0"/>
              <w:spacing w:before="0" w:after="283"/>
              <w:jc w:val="left"/>
              <w:rPr>
                <w:rFonts w:ascii="Times New Roman" w:hAnsi="Times New Roman"/>
              </w:rPr>
            </w:pPr>
            <w:r>
              <w:rPr>
                <w:rFonts w:ascii="Times New Roman" w:hAnsi="Times New Roman"/>
              </w:rPr>
              <w:t>Jean Franchi</w:t>
            </w:r>
          </w:p>
        </w:tc>
        <w:tc>
          <w:tcPr>
            <w:tcW w:w="60" w:type="dxa"/>
            <w:tcBorders>
              <w:bottom w:val="single" w:sz="2" w:space="0" w:color="305494"/>
            </w:tcBorders>
            <w:tcMar>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57</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2180" w:type="dxa"/>
            <w:tcBorders>
              <w:bottom w:val="single" w:sz="2"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Director</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2020</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III</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2026</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Yes</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Chair</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X</w:t>
            </w:r>
          </w:p>
        </w:tc>
      </w:tr>
      <w:tr>
        <w:trPr>
          <w:trHeight w:val="60" w:hRule="atLeast"/>
        </w:trPr>
        <w:tc>
          <w:tcPr>
            <w:tcW w:w="2510" w:type="dxa"/>
            <w:tcBorders>
              <w:right w:val="single" w:sz="2" w:space="0" w:color="305494"/>
            </w:tcBorders>
            <w:tcMar>
              <w:right w:w="28" w:type="dxa"/>
            </w:tcMar>
            <w:vAlign w:val="center"/>
          </w:tcPr>
          <w:p>
            <w:pPr>
              <w:pStyle w:val="TableContents"/>
              <w:bidi w:val="0"/>
              <w:spacing w:before="0" w:after="283"/>
              <w:jc w:val="left"/>
              <w:rPr/>
            </w:pPr>
            <w:r>
              <w:rPr/>
              <w:t> </w:t>
            </w:r>
          </w:p>
        </w:tc>
        <w:tc>
          <w:tcPr>
            <w:tcW w:w="1020" w:type="dxa"/>
            <w:gridSpan w:val="2"/>
            <w:tcBorders/>
            <w:vAlign w:val="center"/>
          </w:tcPr>
          <w:p>
            <w:pPr>
              <w:pStyle w:val="TableContents"/>
              <w:bidi w:val="0"/>
              <w:spacing w:before="0" w:after="283"/>
              <w:jc w:val="left"/>
              <w:rPr>
                <w:sz w:val="4"/>
                <w:szCs w:val="4"/>
              </w:rPr>
            </w:pPr>
            <w:r>
              <w:rPr>
                <w:sz w:val="4"/>
                <w:szCs w:val="4"/>
              </w:rPr>
            </w:r>
          </w:p>
        </w:tc>
        <w:tc>
          <w:tcPr>
            <w:tcW w:w="224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c>
          <w:tcPr>
            <w:tcW w:w="1020" w:type="dxa"/>
            <w:gridSpan w:val="2"/>
            <w:tcBorders>
              <w:left w:val="single" w:sz="2" w:space="0" w:color="305494"/>
            </w:tcBorders>
            <w:tcMar>
              <w:left w:w="28" w:type="dxa"/>
            </w:tcMar>
            <w:vAlign w:val="center"/>
          </w:tcPr>
          <w:p>
            <w:pPr>
              <w:pStyle w:val="TableContents"/>
              <w:bidi w:val="0"/>
              <w:spacing w:before="0" w:after="283"/>
              <w:jc w:val="left"/>
              <w:rPr/>
            </w:pPr>
            <w:r>
              <w:rPr/>
              <w:t> </w:t>
            </w:r>
          </w:p>
        </w:tc>
      </w:tr>
      <w:tr>
        <w:trPr/>
        <w:tc>
          <w:tcPr>
            <w:tcW w:w="2510" w:type="dxa"/>
            <w:tcBorders>
              <w:bottom w:val="single" w:sz="2" w:space="0" w:color="305494"/>
              <w:right w:val="single" w:sz="2" w:space="0" w:color="305494"/>
            </w:tcBorders>
            <w:tcMar>
              <w:bottom w:w="40" w:type="dxa"/>
              <w:right w:w="28" w:type="dxa"/>
            </w:tcMar>
            <w:vAlign w:val="center"/>
          </w:tcPr>
          <w:p>
            <w:pPr>
              <w:pStyle w:val="TableContents"/>
              <w:bidi w:val="0"/>
              <w:spacing w:before="0" w:after="283"/>
              <w:jc w:val="left"/>
              <w:rPr>
                <w:rFonts w:ascii="Times New Roman" w:hAnsi="Times New Roman"/>
              </w:rPr>
            </w:pPr>
            <w:r>
              <w:rPr>
                <w:rFonts w:ascii="Times New Roman" w:hAnsi="Times New Roman"/>
              </w:rPr>
              <w:t>Hany Massarany</w:t>
            </w:r>
          </w:p>
        </w:tc>
        <w:tc>
          <w:tcPr>
            <w:tcW w:w="60" w:type="dxa"/>
            <w:tcBorders>
              <w:bottom w:val="single" w:sz="2" w:space="0" w:color="305494"/>
            </w:tcBorders>
            <w:tcMar>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62</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2180" w:type="dxa"/>
            <w:tcBorders>
              <w:bottom w:val="single" w:sz="2"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Director</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2020</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III</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2026</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Yes</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X</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Chair</w:t>
            </w:r>
          </w:p>
        </w:tc>
        <w:tc>
          <w:tcPr>
            <w:tcW w:w="60" w:type="dxa"/>
            <w:tcBorders>
              <w:left w:val="single" w:sz="2" w:space="0" w:color="305494"/>
              <w:bottom w:val="single" w:sz="2" w:space="0" w:color="305494"/>
            </w:tcBorders>
            <w:tcMar>
              <w:left w:w="28" w:type="dxa"/>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rHeight w:val="60" w:hRule="atLeast"/>
        </w:trPr>
        <w:tc>
          <w:tcPr>
            <w:tcW w:w="2510" w:type="dxa"/>
            <w:tcBorders>
              <w:right w:val="single" w:sz="2" w:space="0" w:color="305494"/>
            </w:tcBorders>
            <w:tcMar>
              <w:right w:w="28" w:type="dxa"/>
            </w:tcMar>
            <w:vAlign w:val="center"/>
          </w:tcPr>
          <w:p>
            <w:pPr>
              <w:pStyle w:val="TableContents"/>
              <w:bidi w:val="0"/>
              <w:spacing w:before="0" w:after="283"/>
              <w:jc w:val="left"/>
              <w:rPr/>
            </w:pPr>
            <w:r>
              <w:rPr/>
              <w:t> </w:t>
            </w:r>
          </w:p>
        </w:tc>
        <w:tc>
          <w:tcPr>
            <w:tcW w:w="1020" w:type="dxa"/>
            <w:gridSpan w:val="2"/>
            <w:tcBorders>
              <w:right w:val="single" w:sz="2" w:space="0" w:color="305494"/>
            </w:tcBorders>
            <w:tcMar>
              <w:right w:w="28" w:type="dxa"/>
            </w:tcMar>
            <w:vAlign w:val="center"/>
          </w:tcPr>
          <w:p>
            <w:pPr>
              <w:pStyle w:val="TableContents"/>
              <w:bidi w:val="0"/>
              <w:spacing w:before="0" w:after="283"/>
              <w:jc w:val="left"/>
              <w:rPr/>
            </w:pPr>
            <w:r>
              <w:rPr/>
              <w:t> </w:t>
            </w:r>
          </w:p>
        </w:tc>
        <w:tc>
          <w:tcPr>
            <w:tcW w:w="2240" w:type="dxa"/>
            <w:gridSpan w:val="2"/>
            <w:tcBorders>
              <w:right w:val="single" w:sz="2" w:space="0" w:color="305494"/>
            </w:tcBorders>
            <w:tcMar>
              <w:right w:w="28" w:type="dxa"/>
            </w:tcMar>
            <w:vAlign w:val="center"/>
          </w:tcPr>
          <w:p>
            <w:pPr>
              <w:pStyle w:val="TableContents"/>
              <w:bidi w:val="0"/>
              <w:spacing w:before="0" w:after="283"/>
              <w:jc w:val="left"/>
              <w:rPr/>
            </w:pPr>
            <w:r>
              <w:rPr/>
              <w:t> </w:t>
            </w:r>
          </w:p>
        </w:tc>
        <w:tc>
          <w:tcPr>
            <w:tcW w:w="1020" w:type="dxa"/>
            <w:gridSpan w:val="2"/>
            <w:tcBorders>
              <w:right w:val="single" w:sz="2" w:space="0" w:color="305494"/>
            </w:tcBorders>
            <w:tcMar>
              <w:right w:w="28" w:type="dxa"/>
            </w:tcMar>
            <w:vAlign w:val="center"/>
          </w:tcPr>
          <w:p>
            <w:pPr>
              <w:pStyle w:val="TableContents"/>
              <w:bidi w:val="0"/>
              <w:spacing w:before="0" w:after="283"/>
              <w:jc w:val="left"/>
              <w:rPr/>
            </w:pPr>
            <w:r>
              <w:rPr/>
              <w:t> </w:t>
            </w:r>
          </w:p>
        </w:tc>
        <w:tc>
          <w:tcPr>
            <w:tcW w:w="1020" w:type="dxa"/>
            <w:gridSpan w:val="2"/>
            <w:tcBorders>
              <w:right w:val="single" w:sz="2" w:space="0" w:color="305494"/>
            </w:tcBorders>
            <w:tcMar>
              <w:right w:w="28" w:type="dxa"/>
            </w:tcMar>
            <w:vAlign w:val="center"/>
          </w:tcPr>
          <w:p>
            <w:pPr>
              <w:pStyle w:val="TableContents"/>
              <w:bidi w:val="0"/>
              <w:spacing w:before="0" w:after="283"/>
              <w:jc w:val="left"/>
              <w:rPr/>
            </w:pPr>
            <w:r>
              <w:rPr/>
              <w:t> </w:t>
            </w:r>
          </w:p>
        </w:tc>
        <w:tc>
          <w:tcPr>
            <w:tcW w:w="1020" w:type="dxa"/>
            <w:gridSpan w:val="2"/>
            <w:tcBorders>
              <w:right w:val="single" w:sz="2" w:space="0" w:color="305494"/>
            </w:tcBorders>
            <w:tcMar>
              <w:right w:w="28" w:type="dxa"/>
            </w:tcMar>
            <w:vAlign w:val="center"/>
          </w:tcPr>
          <w:p>
            <w:pPr>
              <w:pStyle w:val="TableContents"/>
              <w:bidi w:val="0"/>
              <w:spacing w:before="0" w:after="283"/>
              <w:jc w:val="left"/>
              <w:rPr/>
            </w:pPr>
            <w:r>
              <w:rPr/>
              <w:t> </w:t>
            </w:r>
          </w:p>
        </w:tc>
        <w:tc>
          <w:tcPr>
            <w:tcW w:w="1020" w:type="dxa"/>
            <w:gridSpan w:val="2"/>
            <w:tcBorders>
              <w:right w:val="single" w:sz="2" w:space="0" w:color="305494"/>
            </w:tcBorders>
            <w:tcMar>
              <w:right w:w="28" w:type="dxa"/>
            </w:tcMar>
            <w:vAlign w:val="center"/>
          </w:tcPr>
          <w:p>
            <w:pPr>
              <w:pStyle w:val="TableContents"/>
              <w:bidi w:val="0"/>
              <w:spacing w:before="0" w:after="283"/>
              <w:jc w:val="left"/>
              <w:rPr/>
            </w:pPr>
            <w:r>
              <w:rPr/>
              <w:t> </w:t>
            </w:r>
          </w:p>
        </w:tc>
        <w:tc>
          <w:tcPr>
            <w:tcW w:w="1020" w:type="dxa"/>
            <w:gridSpan w:val="2"/>
            <w:tcBorders>
              <w:right w:val="single" w:sz="2" w:space="0" w:color="305494"/>
            </w:tcBorders>
            <w:tcMar>
              <w:right w:w="28" w:type="dxa"/>
            </w:tcMar>
            <w:vAlign w:val="center"/>
          </w:tcPr>
          <w:p>
            <w:pPr>
              <w:pStyle w:val="TableContents"/>
              <w:bidi w:val="0"/>
              <w:spacing w:before="0" w:after="283"/>
              <w:jc w:val="left"/>
              <w:rPr/>
            </w:pPr>
            <w:r>
              <w:rPr/>
              <w:t> </w:t>
            </w:r>
          </w:p>
        </w:tc>
        <w:tc>
          <w:tcPr>
            <w:tcW w:w="1020" w:type="dxa"/>
            <w:gridSpan w:val="2"/>
            <w:tcBorders>
              <w:right w:val="single" w:sz="2" w:space="0" w:color="305494"/>
            </w:tcBorders>
            <w:tcMar>
              <w:right w:w="28" w:type="dxa"/>
            </w:tcMar>
            <w:vAlign w:val="center"/>
          </w:tcPr>
          <w:p>
            <w:pPr>
              <w:pStyle w:val="TableContents"/>
              <w:bidi w:val="0"/>
              <w:spacing w:before="0" w:after="283"/>
              <w:jc w:val="left"/>
              <w:rPr/>
            </w:pPr>
            <w:r>
              <w:rPr/>
              <w:t> </w:t>
            </w:r>
          </w:p>
        </w:tc>
        <w:tc>
          <w:tcPr>
            <w:tcW w:w="1020" w:type="dxa"/>
            <w:gridSpan w:val="2"/>
            <w:tcBorders>
              <w:right w:val="single" w:sz="2" w:space="0" w:color="305494"/>
            </w:tcBorders>
            <w:tcMar>
              <w:right w:w="28" w:type="dxa"/>
            </w:tcMar>
            <w:vAlign w:val="center"/>
          </w:tcPr>
          <w:p>
            <w:pPr>
              <w:pStyle w:val="TableContents"/>
              <w:bidi w:val="0"/>
              <w:spacing w:before="0" w:after="283"/>
              <w:jc w:val="left"/>
              <w:rPr/>
            </w:pPr>
            <w:r>
              <w:rPr/>
              <w:t> </w:t>
            </w:r>
          </w:p>
        </w:tc>
        <w:tc>
          <w:tcPr>
            <w:tcW w:w="102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bottom w:val="single" w:sz="2" w:space="0" w:color="305494"/>
              <w:right w:val="single" w:sz="2" w:space="0" w:color="305494"/>
            </w:tcBorders>
            <w:tcMar>
              <w:bottom w:w="40" w:type="dxa"/>
              <w:right w:w="28" w:type="dxa"/>
            </w:tcMar>
            <w:vAlign w:val="center"/>
          </w:tcPr>
          <w:p>
            <w:pPr>
              <w:pStyle w:val="TableContents"/>
              <w:bidi w:val="0"/>
              <w:spacing w:before="0" w:after="283"/>
              <w:jc w:val="left"/>
              <w:rPr>
                <w:rFonts w:ascii="Times New Roman" w:hAnsi="Times New Roman"/>
              </w:rPr>
            </w:pPr>
            <w:r>
              <w:rPr>
                <w:rFonts w:ascii="Times New Roman" w:hAnsi="Times New Roman"/>
              </w:rPr>
              <w:t>Jack Schuler</w:t>
            </w:r>
          </w:p>
        </w:tc>
        <w:tc>
          <w:tcPr>
            <w:tcW w:w="60" w:type="dxa"/>
            <w:tcBorders>
              <w:bottom w:val="single" w:sz="2" w:space="0" w:color="305494"/>
            </w:tcBorders>
            <w:tcMar>
              <w:bottom w:w="28" w:type="dxa"/>
            </w:tcMar>
            <w:vAlign w:val="bottom"/>
          </w:tcPr>
          <w:p>
            <w:pPr>
              <w:pStyle w:val="TableContents"/>
              <w:bidi w:val="0"/>
              <w:spacing w:before="0" w:after="283"/>
              <w:jc w:val="left"/>
              <w:rPr/>
            </w:pPr>
            <w:r>
              <w:rPr/>
              <w:t> </w:t>
            </w:r>
          </w:p>
        </w:tc>
        <w:tc>
          <w:tcPr>
            <w:tcW w:w="960" w:type="dxa"/>
            <w:tcBorders>
              <w:bottom w:val="single" w:sz="2" w:space="0" w:color="305494"/>
              <w:right w:val="single" w:sz="2" w:space="0" w:color="305494"/>
            </w:tcBorders>
            <w:tcMar>
              <w:bottom w:w="40" w:type="dxa"/>
              <w:right w:w="28" w:type="dxa"/>
            </w:tcMar>
            <w:vAlign w:val="center"/>
          </w:tcPr>
          <w:p>
            <w:pPr>
              <w:pStyle w:val="TableContents"/>
              <w:bidi w:val="0"/>
              <w:spacing w:before="0" w:after="283"/>
              <w:jc w:val="left"/>
              <w:rPr>
                <w:rFonts w:ascii="Times New Roman" w:hAnsi="Times New Roman"/>
              </w:rPr>
            </w:pPr>
            <w:r>
              <w:rPr>
                <w:rFonts w:ascii="Times New Roman" w:hAnsi="Times New Roman"/>
              </w:rPr>
              <w:t>83</w:t>
            </w:r>
          </w:p>
        </w:tc>
        <w:tc>
          <w:tcPr>
            <w:tcW w:w="60" w:type="dxa"/>
            <w:tcBorders>
              <w:bottom w:val="single" w:sz="2" w:space="0" w:color="305494"/>
            </w:tcBorders>
            <w:tcMar>
              <w:bottom w:w="28" w:type="dxa"/>
            </w:tcMar>
            <w:vAlign w:val="bottom"/>
          </w:tcPr>
          <w:p>
            <w:pPr>
              <w:pStyle w:val="TableContents"/>
              <w:bidi w:val="0"/>
              <w:spacing w:before="0" w:after="283"/>
              <w:jc w:val="left"/>
              <w:rPr/>
            </w:pPr>
            <w:r>
              <w:rPr/>
              <w:t> </w:t>
            </w:r>
          </w:p>
        </w:tc>
        <w:tc>
          <w:tcPr>
            <w:tcW w:w="2180" w:type="dxa"/>
            <w:tcBorders>
              <w:bottom w:val="single" w:sz="2" w:space="0" w:color="305494"/>
              <w:right w:val="single" w:sz="2" w:space="0" w:color="305494"/>
            </w:tcBorders>
            <w:tcMar>
              <w:bottom w:w="40" w:type="dxa"/>
              <w:right w:w="28" w:type="dxa"/>
            </w:tcMar>
            <w:vAlign w:val="center"/>
          </w:tcPr>
          <w:p>
            <w:pPr>
              <w:pStyle w:val="TableContents"/>
              <w:bidi w:val="0"/>
              <w:spacing w:before="0" w:after="283"/>
              <w:jc w:val="left"/>
              <w:rPr>
                <w:rFonts w:ascii="Times New Roman" w:hAnsi="Times New Roman"/>
              </w:rPr>
            </w:pPr>
            <w:r>
              <w:rPr>
                <w:rFonts w:ascii="Times New Roman" w:hAnsi="Times New Roman"/>
              </w:rPr>
              <w:t>Director</w:t>
            </w:r>
          </w:p>
        </w:tc>
        <w:tc>
          <w:tcPr>
            <w:tcW w:w="60" w:type="dxa"/>
            <w:tcBorders>
              <w:bottom w:val="single" w:sz="2" w:space="0" w:color="305494"/>
            </w:tcBorders>
            <w:tcMar>
              <w:bottom w:w="28" w:type="dxa"/>
            </w:tcMar>
            <w:vAlign w:val="bottom"/>
          </w:tcPr>
          <w:p>
            <w:pPr>
              <w:pStyle w:val="TableContents"/>
              <w:bidi w:val="0"/>
              <w:spacing w:before="0" w:after="283"/>
              <w:jc w:val="left"/>
              <w:rPr/>
            </w:pPr>
            <w:r>
              <w:rPr/>
              <w:t> </w:t>
            </w:r>
          </w:p>
        </w:tc>
        <w:tc>
          <w:tcPr>
            <w:tcW w:w="960" w:type="dxa"/>
            <w:tcBorders>
              <w:bottom w:val="single" w:sz="2" w:space="0" w:color="305494"/>
              <w:right w:val="single" w:sz="2" w:space="0" w:color="305494"/>
            </w:tcBorders>
            <w:tcMar>
              <w:bottom w:w="40" w:type="dxa"/>
              <w:right w:w="28" w:type="dxa"/>
            </w:tcMar>
            <w:vAlign w:val="center"/>
          </w:tcPr>
          <w:p>
            <w:pPr>
              <w:pStyle w:val="TableContents"/>
              <w:bidi w:val="0"/>
              <w:spacing w:before="0" w:after="283"/>
              <w:jc w:val="center"/>
              <w:rPr>
                <w:rFonts w:ascii="Times New Roman" w:hAnsi="Times New Roman"/>
              </w:rPr>
            </w:pPr>
            <w:r>
              <w:rPr>
                <w:rFonts w:ascii="Times New Roman" w:hAnsi="Times New Roman"/>
              </w:rPr>
              <w:t>2008</w:t>
            </w:r>
          </w:p>
        </w:tc>
        <w:tc>
          <w:tcPr>
            <w:tcW w:w="60" w:type="dxa"/>
            <w:tcBorders>
              <w:bottom w:val="single" w:sz="2" w:space="0" w:color="305494"/>
            </w:tcBorders>
            <w:tcMar>
              <w:bottom w:w="28" w:type="dxa"/>
            </w:tcMar>
            <w:vAlign w:val="bottom"/>
          </w:tcPr>
          <w:p>
            <w:pPr>
              <w:pStyle w:val="TableContents"/>
              <w:bidi w:val="0"/>
              <w:spacing w:before="0" w:after="283"/>
              <w:jc w:val="left"/>
              <w:rPr/>
            </w:pPr>
            <w:r>
              <w:rPr/>
              <w:t> </w:t>
            </w:r>
          </w:p>
        </w:tc>
        <w:tc>
          <w:tcPr>
            <w:tcW w:w="960" w:type="dxa"/>
            <w:tcBorders>
              <w:bottom w:val="single" w:sz="2" w:space="0" w:color="305494"/>
              <w:right w:val="single" w:sz="2" w:space="0" w:color="305494"/>
            </w:tcBorders>
            <w:tcMar>
              <w:bottom w:w="40" w:type="dxa"/>
              <w:right w:w="28" w:type="dxa"/>
            </w:tcMar>
            <w:vAlign w:val="center"/>
          </w:tcPr>
          <w:p>
            <w:pPr>
              <w:pStyle w:val="TableContents"/>
              <w:bidi w:val="0"/>
              <w:spacing w:before="0" w:after="283"/>
              <w:jc w:val="center"/>
              <w:rPr>
                <w:rFonts w:ascii="Times New Roman" w:hAnsi="Times New Roman"/>
              </w:rPr>
            </w:pPr>
            <w:r>
              <w:rPr>
                <w:rFonts w:ascii="Times New Roman" w:hAnsi="Times New Roman"/>
              </w:rPr>
              <w:t>III</w:t>
            </w:r>
          </w:p>
        </w:tc>
        <w:tc>
          <w:tcPr>
            <w:tcW w:w="60" w:type="dxa"/>
            <w:tcBorders>
              <w:bottom w:val="single" w:sz="2" w:space="0" w:color="305494"/>
            </w:tcBorders>
            <w:tcMar>
              <w:bottom w:w="28" w:type="dxa"/>
            </w:tcMar>
            <w:vAlign w:val="bottom"/>
          </w:tcPr>
          <w:p>
            <w:pPr>
              <w:pStyle w:val="TableContents"/>
              <w:bidi w:val="0"/>
              <w:spacing w:before="0" w:after="283"/>
              <w:jc w:val="left"/>
              <w:rPr/>
            </w:pPr>
            <w:r>
              <w:rPr/>
              <w:t> </w:t>
            </w:r>
          </w:p>
        </w:tc>
        <w:tc>
          <w:tcPr>
            <w:tcW w:w="960" w:type="dxa"/>
            <w:tcBorders>
              <w:bottom w:val="single" w:sz="2" w:space="0" w:color="305494"/>
              <w:right w:val="single" w:sz="2" w:space="0" w:color="305494"/>
            </w:tcBorders>
            <w:tcMar>
              <w:bottom w:w="40" w:type="dxa"/>
              <w:right w:w="28" w:type="dxa"/>
            </w:tcMar>
            <w:vAlign w:val="center"/>
          </w:tcPr>
          <w:p>
            <w:pPr>
              <w:pStyle w:val="TableContents"/>
              <w:bidi w:val="0"/>
              <w:spacing w:before="0" w:after="283"/>
              <w:jc w:val="center"/>
              <w:rPr>
                <w:rFonts w:ascii="Times New Roman" w:hAnsi="Times New Roman"/>
              </w:rPr>
            </w:pPr>
            <w:r>
              <w:rPr>
                <w:rFonts w:ascii="Times New Roman" w:hAnsi="Times New Roman"/>
              </w:rPr>
              <w:t>2026</w:t>
            </w:r>
          </w:p>
        </w:tc>
        <w:tc>
          <w:tcPr>
            <w:tcW w:w="60" w:type="dxa"/>
            <w:tcBorders>
              <w:bottom w:val="single" w:sz="2" w:space="0" w:color="305494"/>
            </w:tcBorders>
            <w:tcMar>
              <w:bottom w:w="28" w:type="dxa"/>
            </w:tcMar>
            <w:vAlign w:val="bottom"/>
          </w:tcPr>
          <w:p>
            <w:pPr>
              <w:pStyle w:val="TableContents"/>
              <w:bidi w:val="0"/>
              <w:spacing w:before="0" w:after="283"/>
              <w:jc w:val="left"/>
              <w:rPr/>
            </w:pPr>
            <w:r>
              <w:rPr/>
              <w:t> </w:t>
            </w:r>
          </w:p>
        </w:tc>
        <w:tc>
          <w:tcPr>
            <w:tcW w:w="960" w:type="dxa"/>
            <w:tcBorders>
              <w:bottom w:val="single" w:sz="2" w:space="0" w:color="305494"/>
              <w:right w:val="single" w:sz="2" w:space="0" w:color="305494"/>
            </w:tcBorders>
            <w:tcMar>
              <w:bottom w:w="40" w:type="dxa"/>
              <w:right w:w="28" w:type="dxa"/>
            </w:tcMar>
            <w:vAlign w:val="center"/>
          </w:tcPr>
          <w:p>
            <w:pPr>
              <w:pStyle w:val="TableContents"/>
              <w:bidi w:val="0"/>
              <w:spacing w:before="0" w:after="283"/>
              <w:jc w:val="center"/>
              <w:rPr>
                <w:rFonts w:ascii="Times New Roman" w:hAnsi="Times New Roman"/>
              </w:rPr>
            </w:pPr>
            <w:r>
              <w:rPr>
                <w:rFonts w:ascii="Times New Roman" w:hAnsi="Times New Roman"/>
              </w:rPr>
              <w:t></w:t>
            </w:r>
          </w:p>
        </w:tc>
        <w:tc>
          <w:tcPr>
            <w:tcW w:w="60" w:type="dxa"/>
            <w:tcBorders>
              <w:bottom w:val="single" w:sz="2" w:space="0" w:color="305494"/>
            </w:tcBorders>
            <w:tcMar>
              <w:bottom w:w="28" w:type="dxa"/>
            </w:tcMar>
            <w:vAlign w:val="bottom"/>
          </w:tcPr>
          <w:p>
            <w:pPr>
              <w:pStyle w:val="TableContents"/>
              <w:bidi w:val="0"/>
              <w:spacing w:before="0" w:after="283"/>
              <w:jc w:val="left"/>
              <w:rPr/>
            </w:pPr>
            <w:r>
              <w:rPr/>
              <w:t> </w:t>
            </w:r>
          </w:p>
        </w:tc>
        <w:tc>
          <w:tcPr>
            <w:tcW w:w="960" w:type="dxa"/>
            <w:tcBorders>
              <w:bottom w:val="single" w:sz="2" w:space="0" w:color="305494"/>
              <w:right w:val="single" w:sz="2" w:space="0" w:color="305494"/>
            </w:tcBorders>
            <w:tcMar>
              <w:bottom w:w="40" w:type="dxa"/>
              <w:right w:w="28" w:type="dxa"/>
            </w:tcMar>
            <w:vAlign w:val="center"/>
          </w:tcPr>
          <w:p>
            <w:pPr>
              <w:pStyle w:val="TableContents"/>
              <w:bidi w:val="0"/>
              <w:spacing w:before="0" w:after="283"/>
              <w:jc w:val="center"/>
              <w:rPr>
                <w:rFonts w:ascii="Times New Roman" w:hAnsi="Times New Roman"/>
              </w:rPr>
            </w:pPr>
            <w:r>
              <w:rPr>
                <w:rFonts w:ascii="Times New Roman" w:hAnsi="Times New Roman"/>
              </w:rPr>
              <w:t>Yes</w:t>
            </w:r>
          </w:p>
        </w:tc>
        <w:tc>
          <w:tcPr>
            <w:tcW w:w="60" w:type="dxa"/>
            <w:tcBorders>
              <w:bottom w:val="single" w:sz="2" w:space="0" w:color="305494"/>
            </w:tcBorders>
            <w:tcMar>
              <w:bottom w:w="28" w:type="dxa"/>
            </w:tcMar>
            <w:vAlign w:val="bottom"/>
          </w:tcPr>
          <w:p>
            <w:pPr>
              <w:pStyle w:val="TableContents"/>
              <w:bidi w:val="0"/>
              <w:spacing w:before="0" w:after="283"/>
              <w:jc w:val="left"/>
              <w:rPr/>
            </w:pPr>
            <w:r>
              <w:rPr/>
              <w:t> </w:t>
            </w:r>
          </w:p>
        </w:tc>
        <w:tc>
          <w:tcPr>
            <w:tcW w:w="960" w:type="dxa"/>
            <w:tcBorders>
              <w:bottom w:val="single" w:sz="2" w:space="0" w:color="305494"/>
              <w:right w:val="single" w:sz="2" w:space="0" w:color="305494"/>
            </w:tcBorders>
            <w:tcMar>
              <w:bottom w:w="28" w:type="dxa"/>
              <w:right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2" w:space="0" w:color="305494"/>
            </w:tcBorders>
            <w:tcMar>
              <w:bottom w:w="28" w:type="dxa"/>
            </w:tcMar>
            <w:vAlign w:val="bottom"/>
          </w:tcPr>
          <w:p>
            <w:pPr>
              <w:pStyle w:val="TableContents"/>
              <w:bidi w:val="0"/>
              <w:spacing w:before="0" w:after="283"/>
              <w:jc w:val="left"/>
              <w:rPr/>
            </w:pPr>
            <w:r>
              <w:rPr/>
              <w:t> </w:t>
            </w:r>
          </w:p>
        </w:tc>
        <w:tc>
          <w:tcPr>
            <w:tcW w:w="960" w:type="dxa"/>
            <w:tcBorders>
              <w:bottom w:val="single" w:sz="2" w:space="0" w:color="305494"/>
              <w:right w:val="single" w:sz="2" w:space="0" w:color="305494"/>
            </w:tcBorders>
            <w:tcMar>
              <w:bottom w:w="28" w:type="dxa"/>
              <w:right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2" w:space="0" w:color="305494"/>
            </w:tcBorders>
            <w:tcMar>
              <w:bottom w:w="28" w:type="dxa"/>
            </w:tcMar>
            <w:vAlign w:val="bottom"/>
          </w:tcPr>
          <w:p>
            <w:pPr>
              <w:pStyle w:val="TableContents"/>
              <w:bidi w:val="0"/>
              <w:spacing w:before="0" w:after="283"/>
              <w:jc w:val="left"/>
              <w:rPr/>
            </w:pPr>
            <w:r>
              <w:rPr/>
              <w:t> </w:t>
            </w:r>
          </w:p>
        </w:tc>
        <w:tc>
          <w:tcPr>
            <w:tcW w:w="960" w:type="dxa"/>
            <w:tcBorders>
              <w:bottom w:val="single" w:sz="2"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X</w:t>
            </w:r>
          </w:p>
        </w:tc>
      </w:tr>
    </w:tbl>
    <w:p>
      <w:pPr>
        <w:pStyle w:val="TextBody"/>
        <w:bidi w:val="0"/>
        <w:spacing w:before="240" w:after="0"/>
        <w:jc w:val="left"/>
        <w:rPr>
          <w:rFonts w:ascii="Times New Roman" w:hAnsi="Times New Roman"/>
          <w:sz w:val="16"/>
        </w:rPr>
      </w:pPr>
      <w:r>
        <w:rPr>
          <w:rFonts w:ascii="Times New Roman" w:hAnsi="Times New Roman"/>
          <w:b/>
          <w:sz w:val="16"/>
        </w:rPr>
        <w:t xml:space="preserve">* AC </w:t>
      </w:r>
      <w:r>
        <w:rPr>
          <w:rFonts w:ascii="Times New Roman" w:hAnsi="Times New Roman"/>
          <w:sz w:val="16"/>
        </w:rPr>
        <w:t xml:space="preserve">- Audit Committee; </w:t>
      </w:r>
      <w:r>
        <w:rPr>
          <w:rFonts w:ascii="Times New Roman" w:hAnsi="Times New Roman"/>
          <w:b/>
          <w:sz w:val="16"/>
        </w:rPr>
        <w:t xml:space="preserve">CC </w:t>
      </w:r>
      <w:r>
        <w:rPr>
          <w:rFonts w:ascii="Times New Roman" w:hAnsi="Times New Roman"/>
          <w:sz w:val="16"/>
        </w:rPr>
        <w:t xml:space="preserve">- Compensation Committee; </w:t>
      </w:r>
      <w:r>
        <w:rPr>
          <w:rFonts w:ascii="Times New Roman" w:hAnsi="Times New Roman"/>
          <w:b/>
          <w:sz w:val="16"/>
        </w:rPr>
        <w:t>NCG</w:t>
      </w:r>
      <w:r>
        <w:rPr>
          <w:rFonts w:ascii="Times New Roman" w:hAnsi="Times New Roman"/>
          <w:sz w:val="16"/>
        </w:rPr>
        <w:t xml:space="preserve"> - Nominating and Corporate Governance Committee </w:t>
      </w:r>
    </w:p>
    <w:p>
      <w:pPr>
        <w:pStyle w:val="TextBody"/>
        <w:bidi w:val="0"/>
        <w:spacing w:before="480" w:after="0"/>
        <w:jc w:val="left"/>
        <w:rPr>
          <w:rFonts w:ascii="Times New Roman" w:hAnsi="Times New Roman"/>
          <w:b/>
          <w:color w:val="305494"/>
          <w:sz w:val="20"/>
        </w:rPr>
      </w:pPr>
      <w:r>
        <w:rPr>
          <w:rFonts w:ascii="Times New Roman" w:hAnsi="Times New Roman"/>
          <w:b/>
          <w:color w:val="305494"/>
          <w:sz w:val="20"/>
        </w:rPr>
        <w:t xml:space="preserve">Director Nominees </w:t>
      </w:r>
    </w:p>
    <w:p>
      <w:pPr>
        <w:pStyle w:val="TextBody"/>
        <w:bidi w:val="0"/>
        <w:spacing w:before="480" w:after="0"/>
        <w:jc w:val="left"/>
        <w:rPr>
          <w:rFonts w:ascii="Times New Roman" w:hAnsi="Times New Roman"/>
          <w:i/>
          <w:color w:val="305494"/>
          <w:sz w:val="20"/>
        </w:rPr>
      </w:pPr>
      <w:r>
        <w:rPr>
          <w:rFonts w:ascii="Times New Roman" w:hAnsi="Times New Roman"/>
          <w:i/>
          <w:color w:val="305494"/>
          <w:sz w:val="20"/>
        </w:rPr>
        <w:t xml:space="preserve">Class I Directors  Nominees for Election at the Annual Meeting </w:t>
      </w:r>
    </w:p>
    <w:p>
      <w:pPr>
        <w:pStyle w:val="TextBody"/>
        <w:bidi w:val="0"/>
        <w:spacing w:before="480" w:after="0"/>
        <w:jc w:val="left"/>
        <w:rPr>
          <w:rFonts w:ascii="Times New Roman" w:hAnsi="Times New Roman"/>
          <w:sz w:val="20"/>
        </w:rPr>
      </w:pPr>
      <w:r>
        <w:rPr>
          <w:rFonts w:ascii="Times New Roman" w:hAnsi="Times New Roman"/>
          <w:b/>
          <w:i/>
          <w:sz w:val="20"/>
        </w:rPr>
        <w:t>Jon Faiz Kayyem, Ph.D.</w:t>
      </w:r>
      <w:r>
        <w:rPr>
          <w:rFonts w:ascii="Times New Roman" w:hAnsi="Times New Roman"/>
          <w:sz w:val="20"/>
        </w:rPr>
        <w:t xml:space="preserve"> has served as a Director of the Company since December 2021. Dr. Kayyem has over 20 years of experience inventing, patenting, licensing, developing, and commercializing novel solutions for molecular diagnostics and DNA detection opportunities. Dr. Kayyem has served in various leadership positions throughout his career. He held numerous roles at GenMark Diagnostics, Inc., including Founder, CEO and President, Chief Scientific Officer, Senior Vice President of Research and Development. Prior to his work at GenMark Diagnostics, Dr. Kayyem served as director and founder of Calimmune, Inc. and was Vice President of Life Sciences at Motorola Solutions, Inc. In October 2004, he co-founded the biotechnology fund management company, Efficacy Capital Limited and served as a managing partner. Additionally, Dr. Kayyem founded Clinical Micro Sensors Inc., the predecessor company of GenMark Diagnostics, to commercialize multiple technical innovations that he developed while serving as a Senior Research Fellow at the California Institute of Technology (Caltech). Dr. Kayyem holds a B.S. and M.S. in Biochemistry from Yale University and a Ph.D. in Molecular Biology from Caltech. Currently, Dr. Kayyem is on the board of directors of Inhibrx, Inc.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Dr. Kayyem is qualified to serve on our board of directors because of his experience in leadership and management roles in the field of medicine, as well as his experience as a board member and investor in companies in the healthcare industry. </w:t>
      </w:r>
    </w:p>
    <w:p>
      <w:pPr>
        <w:pStyle w:val="TextBody"/>
        <w:bidi w:val="0"/>
        <w:spacing w:before="240" w:after="0"/>
        <w:jc w:val="left"/>
        <w:rPr>
          <w:rFonts w:ascii="Times New Roman" w:hAnsi="Times New Roman"/>
          <w:sz w:val="20"/>
        </w:rPr>
      </w:pPr>
      <w:r>
        <w:rPr>
          <w:rFonts w:ascii="Times New Roman" w:hAnsi="Times New Roman"/>
          <w:b/>
          <w:i/>
          <w:sz w:val="20"/>
        </w:rPr>
        <w:t>Scott Hutton</w:t>
      </w:r>
      <w:r>
        <w:rPr>
          <w:rFonts w:ascii="Times New Roman" w:hAnsi="Times New Roman"/>
          <w:sz w:val="20"/>
        </w:rPr>
        <w:t xml:space="preserve"> has served as our President, Chief Executive Officer and Director since January 2020, and previously held the role of Chief Operating Officer from March 2018 to December 2019. Mr. Hutton also serves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rFonts w:ascii="arial" w:hAnsi="arial"/>
                <w:b/>
                <w:color w:val="305494"/>
                <w:sz w:val="16"/>
              </w:rPr>
            </w:pPr>
            <w:r>
              <w:rPr>
                <w:rFonts w:ascii="arial" w:hAnsi="arial"/>
                <w:b/>
                <w:color w:val="305494"/>
                <w:sz w:val="16"/>
              </w:rPr>
              <w:t>9</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director and board secretary for the Coalition for 21st Century Medicine, a non-profit organization that advocates for high-quality diagnostic testing availability. Additionally, Mr. Hutton has served on the board of directors of Eximis Surgical, Inc. since February 2018 and was on the board of the Colorado Bioscience Association from April 2011 to April 2013. Mr. Hutton was an observer on the board of directors of Aqueduct Critical Care, Inc. from September 2014 to January 2017, and an observer on the Board of Visualase, Inc. from October 2012 to July 2014. Mr. Hutton joined Biodesix from Spectranetics Corp. (Spectranetics), a U.S.-based global leader in vascular intervention and lead management solutions (now part of Royal Philips), where he served as Senior Vice President and General Manager of the Vascular Intervention division from January 2017 to December 2017. Prior to joining Spectranetics, Mr. Hutton held several positions of increasing responsibility, including Vice President and General Manager, at Medtronic plc, a global healthcare products company and manufacturer of medical devices and supplies, over a period of 16 years. From April 2012 to January 2017, Mr. Hutton was Vice President and General Manager of Neurosurgery, where he oversaw the operations of the approximately $1 billion Neurosurgery business unit. From 2008 to 2012, he grew from Senior Director of Global Marketing to Vice President and Business Leader of the Surgical Navigation and Intra-Operative Imaging business. Mr. Hutton holds a B.A. from the College of Health and Human Sciences, Department of Health and Kinesiology at Purdue University. In March 2021, Mr. Hutton was named a Significant Sig by Sigma Chi International Fraternity. Mr. Hutton was named a Top 25 Biotech CEO of 2021 and 2022 by the Healthcare Technology Report in February 2021 and February 2022, respectively. In January 2021, Mr. Hutton was named 2020 CEO of the Year-USA by CEO Monthly Magazine. In July 2011, Mr. Hutton received the Medtronic plc </w:t>
      </w:r>
      <w:r>
        <w:rPr>
          <w:rFonts w:ascii="Times New Roman" w:hAnsi="Times New Roman"/>
          <w:i/>
          <w:sz w:val="20"/>
        </w:rPr>
        <w:t>Wallin Leadership Award</w:t>
      </w:r>
      <w:r>
        <w:rPr>
          <w:rFonts w:ascii="Times New Roman" w:hAnsi="Times New Roman"/>
          <w:sz w:val="20"/>
        </w:rPr>
        <w:t xml:space="preserve"> for his focus on talent development, business performance, and his personal and intentional demonstration of leadership.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Hutton is qualified to serve on our board of directors because of his experience in leadership and management roles at our Company, as well as his experience as a board member in the healthcare and medical device industries. </w:t>
      </w:r>
    </w:p>
    <w:p>
      <w:pPr>
        <w:pStyle w:val="TextBody"/>
        <w:bidi w:val="0"/>
        <w:spacing w:before="240" w:after="0"/>
        <w:jc w:val="left"/>
        <w:rPr>
          <w:rFonts w:ascii="Times New Roman" w:hAnsi="Times New Roman"/>
          <w:sz w:val="20"/>
        </w:rPr>
      </w:pPr>
      <w:r>
        <w:rPr>
          <w:rFonts w:ascii="Times New Roman" w:hAnsi="Times New Roman"/>
          <w:b/>
          <w:i/>
          <w:sz w:val="20"/>
        </w:rPr>
        <w:t>John Patience</w:t>
      </w:r>
      <w:r>
        <w:rPr>
          <w:rFonts w:ascii="Times New Roman" w:hAnsi="Times New Roman"/>
          <w:sz w:val="20"/>
        </w:rPr>
        <w:t xml:space="preserve"> has served as a Director of the Company since June 2008 and as Chairman of the Board since September 2020. Mr. Patience currently serves as a director (since 2012) of Accelerate Diagnostics, Inc., an </w:t>
      </w:r>
      <w:r>
        <w:rPr>
          <w:rFonts w:ascii="Times New Roman" w:hAnsi="Times New Roman"/>
          <w:i/>
          <w:sz w:val="20"/>
        </w:rPr>
        <w:t>in vitro</w:t>
      </w:r>
      <w:r>
        <w:rPr>
          <w:rFonts w:ascii="Times New Roman" w:hAnsi="Times New Roman"/>
          <w:sz w:val="20"/>
        </w:rPr>
        <w:t xml:space="preserve"> diagnostics company (Accelerate Diagnostics). Mr. Patience served as a director of Ventana Medical Systems, Inc. (Ventana), from 1989 and as Vice Chairman from 1999 until Ventanas acquisition by Roche in 2008. Mr. Patience also served as a director of Stericycle, Inc. since its founding in 1989 to June 2018. Mr. Patience is a founding partner of Crabtree Partners, a private equity investment partnership in Lake Forest, Illinois, and an angel investor. He was also previously a partner of a venture capital investment firm that provided both Ventana and Stericycle, Inc. with early-stage funding. Mr. Patience was also previously a partner at the consulting firm McKinsey &amp; Company, Inc., specializing in healthcare. Mr. Patience holds a B.A. in Liberal Arts and an L.L.B. from the University of Sydney, Australia, and an M.B.A. from the University of Pennsylvanias Wharton School of Business.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Patience is qualified to serve on our board of directors because of his experience in leadership and management roles in the field of medicine, as well as his experience as a board member and investor in companies in the healthcare industry. </w:t>
      </w:r>
    </w:p>
    <w:p>
      <w:pPr>
        <w:pStyle w:val="TextBody"/>
        <w:bidi w:val="0"/>
        <w:spacing w:before="480" w:after="0"/>
        <w:jc w:val="left"/>
        <w:rPr>
          <w:rFonts w:ascii="Times New Roman" w:hAnsi="Times New Roman"/>
          <w:b/>
          <w:color w:val="305494"/>
          <w:sz w:val="20"/>
        </w:rPr>
      </w:pPr>
      <w:r>
        <w:rPr>
          <w:rFonts w:ascii="Times New Roman" w:hAnsi="Times New Roman"/>
          <w:b/>
          <w:color w:val="305494"/>
          <w:sz w:val="20"/>
        </w:rPr>
        <w:t xml:space="preserve">Continuing Directors </w:t>
      </w:r>
    </w:p>
    <w:p>
      <w:pPr>
        <w:pStyle w:val="TextBody"/>
        <w:bidi w:val="0"/>
        <w:spacing w:before="480" w:after="0"/>
        <w:jc w:val="left"/>
        <w:rPr>
          <w:rFonts w:ascii="Times New Roman" w:hAnsi="Times New Roman"/>
          <w:i/>
          <w:color w:val="305494"/>
          <w:sz w:val="20"/>
        </w:rPr>
      </w:pPr>
      <w:r>
        <w:rPr>
          <w:rFonts w:ascii="Times New Roman" w:hAnsi="Times New Roman"/>
          <w:i/>
          <w:color w:val="305494"/>
          <w:sz w:val="20"/>
        </w:rPr>
        <w:t xml:space="preserve">Class II Directors  Term Expiring at the 2025 Annual Meeting </w:t>
      </w:r>
    </w:p>
    <w:p>
      <w:pPr>
        <w:pStyle w:val="TextBody"/>
        <w:bidi w:val="0"/>
        <w:spacing w:before="480" w:after="0"/>
        <w:jc w:val="left"/>
        <w:rPr>
          <w:rFonts w:ascii="Times New Roman" w:hAnsi="Times New Roman"/>
          <w:sz w:val="20"/>
        </w:rPr>
      </w:pPr>
      <w:r>
        <w:rPr>
          <w:rFonts w:ascii="Times New Roman" w:hAnsi="Times New Roman"/>
          <w:b/>
          <w:i/>
          <w:sz w:val="20"/>
        </w:rPr>
        <w:t xml:space="preserve">Lawrence T. Kennedy, Jr. </w:t>
      </w:r>
      <w:r>
        <w:rPr>
          <w:rFonts w:ascii="Times New Roman" w:hAnsi="Times New Roman"/>
          <w:sz w:val="20"/>
        </w:rPr>
        <w:t xml:space="preserve">has served as a Director of the Company since January 2023. Mr. Kennedy brings to Biodesix more than 25 years of broad operating, corporate finance, company creation and investment experience with a specific focus in the healthcare industry. Mr. Kennedy currently serves as the Managing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10</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 and Chief Executive Officer of Westwood Management, a private investment and wealth management firm directing a diverse investment portfolio across a range of alternative and traditional asset classes. Prior to his role at Westwood Management, Mr. Kennedy was the co-founder, Chief Financial Officer and chairman of Health Carousel, a talent management company with a leading portfolio of healthcare staffing and workforce solution businesses. Mr. Kennedy currently serves on the boards of directors of Healthcare for Kids, Caliber Healthcare Solutions, Revolution 4.0 and Health Carousel. Mr. Kennedy has received an M.B.A. from Duke Universitys Fuqua School of Business and a B.A. from Colgate University.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Kennedy is qualified to serve on our board of directors because of his experience in leadership and management roles in the field of healthcare, as well as his experience as a board member and investor in companies in the healthcare industry. </w:t>
      </w:r>
    </w:p>
    <w:p>
      <w:pPr>
        <w:pStyle w:val="TextBody"/>
        <w:bidi w:val="0"/>
        <w:spacing w:before="240" w:after="0"/>
        <w:jc w:val="left"/>
        <w:rPr>
          <w:rFonts w:ascii="Times New Roman" w:hAnsi="Times New Roman"/>
          <w:sz w:val="20"/>
        </w:rPr>
      </w:pPr>
      <w:r>
        <w:rPr>
          <w:rFonts w:ascii="Times New Roman" w:hAnsi="Times New Roman"/>
          <w:b/>
          <w:i/>
          <w:sz w:val="20"/>
        </w:rPr>
        <w:t>Matthew Strobeck, Ph.D</w:t>
      </w:r>
      <w:r>
        <w:rPr>
          <w:rFonts w:ascii="Times New Roman" w:hAnsi="Times New Roman"/>
          <w:sz w:val="20"/>
        </w:rPr>
        <w:t xml:space="preserve">. has served as a Director of the Company since January 2012. Dr. Strobeck is currently the Managing Partner of Birchview Capital LP, an investment management company. In addition, Dr. Strobeck is currently a director of QuidelOrtho Corporation (Quidel), Accelerate Diagnostics, Monteris Medical Corporation and the Schuler Education Foundation. Dr. Strobeck was a director of Yield 10 Biosciences from 2012 to 2017. Dr. Strobeck received a B.S. from St. Lawrence University, a Ph.D. from the University of Cincinnati, an M.S. from the Harvard University-MIT Health Sciences and Technology Program, and an M.S. from the MIT Sloan School of Management.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Dr. Strobeck is qualified to serve on our board of directors because of his experience in leadership and management roles at medical technology companies, as well as his experience as a board member and investor in the medical technology industry. </w:t>
      </w:r>
    </w:p>
    <w:p>
      <w:pPr>
        <w:pStyle w:val="TextBody"/>
        <w:bidi w:val="0"/>
        <w:spacing w:before="240" w:after="0"/>
        <w:jc w:val="left"/>
        <w:rPr>
          <w:rFonts w:ascii="Times New Roman" w:hAnsi="Times New Roman"/>
          <w:sz w:val="20"/>
        </w:rPr>
      </w:pPr>
      <w:r>
        <w:rPr>
          <w:rFonts w:ascii="Times New Roman" w:hAnsi="Times New Roman"/>
          <w:b/>
          <w:i/>
          <w:sz w:val="20"/>
        </w:rPr>
        <w:t>Charles Watts, M.D</w:t>
      </w:r>
      <w:r>
        <w:rPr>
          <w:rFonts w:ascii="Times New Roman" w:hAnsi="Times New Roman"/>
          <w:sz w:val="20"/>
        </w:rPr>
        <w:t xml:space="preserve">. has served as a Director of the Company since July 2019. Until his retirement, Dr. Watts served as Chief Medical Officer at Northwestern Memorial Hospital and Associate Dean for Clinical Affairs at the Feinberg School of Medicine, Northwestern University (Northwestern) from 2001 to 2011. Prior to his tenure at Northwestern, Dr. Watts served as Chief of Clinical Affairs and Associate Dean at the University of Michigan Medical Center. He also previously served as Executive in Residence for the Health Management Academy and as an active faculty member of a national physician leadership program. Dr. Watts served as a director of Providence Health and Services (Seattle, Washington) from 2012 to 2016 where he chaired the Quality and Patient Safety Improvement Committee, and served as a Trustee of Swedish Health Services until May 2017, when he accepted an appointment as interim Chief Medical Officer, serving in that capacity until June 2019. He currently serves as chairman of the Institute for Systems Biology board and served as a director of Accelerate Diagnostics until 2023. Dr. Watts received his medical degree from the University of Michigan.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Dr. Watts is qualified to serve on our board of directors because of his experience in leadership and management roles in the field of medicine, as well as his experience as a board member in the healthcare industry. </w:t>
      </w:r>
    </w:p>
    <w:p>
      <w:pPr>
        <w:pStyle w:val="TextBody"/>
        <w:bidi w:val="0"/>
        <w:spacing w:before="360" w:after="0"/>
        <w:jc w:val="left"/>
        <w:rPr>
          <w:rFonts w:ascii="Times New Roman" w:hAnsi="Times New Roman"/>
          <w:i/>
          <w:color w:val="305494"/>
          <w:sz w:val="20"/>
        </w:rPr>
      </w:pPr>
      <w:r>
        <w:rPr>
          <w:rFonts w:ascii="Times New Roman" w:hAnsi="Times New Roman"/>
          <w:i/>
          <w:color w:val="305494"/>
          <w:sz w:val="20"/>
        </w:rPr>
        <w:t xml:space="preserve">Class III Directors  Term Expiring at the 2026 Annual Meeting </w:t>
      </w:r>
    </w:p>
    <w:p>
      <w:pPr>
        <w:pStyle w:val="TextBody"/>
        <w:bidi w:val="0"/>
        <w:spacing w:before="360" w:after="0"/>
        <w:jc w:val="left"/>
        <w:rPr>
          <w:rFonts w:ascii="Times New Roman" w:hAnsi="Times New Roman"/>
          <w:sz w:val="20"/>
        </w:rPr>
      </w:pPr>
      <w:r>
        <w:rPr>
          <w:rFonts w:ascii="Times New Roman" w:hAnsi="Times New Roman"/>
          <w:b/>
          <w:i/>
          <w:sz w:val="20"/>
        </w:rPr>
        <w:t>Jean M. Franchi</w:t>
      </w:r>
      <w:r>
        <w:rPr>
          <w:rFonts w:ascii="Times New Roman" w:hAnsi="Times New Roman"/>
          <w:sz w:val="20"/>
        </w:rPr>
        <w:t xml:space="preserve"> has served as a Director of the Company since April 2020. Ms. Franchi is currently Chief Financial Officer of Disc Medicine, Inc., a clinical stage company focused on hematologic diseases, prior to which she served as Chief Financial Officer of Replimune Group, Inc. (Replimune) from 2019 to 2023, a biotechnology company developing oncolytic immuno-gene therapies. Prior to Replimune, Ms. Franchi was Chief Financial Officer at Merrimack Pharmaceuticals, Inc., a biopharmaceutical company, from 2017 to 2019, Dimension Therapeutics, Inc., a gene therapy company, from 2015 to 2017, and Good Start Genetics, Inc., a molecular genetic information company, from 2012 to 2015. From 1995 to 2011, Ms. Franchi held various positions at Genzyme Corporation, including Senior Vice President of Corporate Finance, Senior Vice President of Business Unit Finance, and Vice President of Finance and Controller, Product Line and International Group.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11</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Ms. Franchi currently serves on the board of directors of VectorY Therapeutics. Ms. Franchi also served on the board of directors of Biophytis S.A. through July 2021, Visioneering Technologies, Inc. through December 2022 and Flamingo Therapeutics through March 2024. Ms. Franchi received her B.A. in Accounting from Hofstra University.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Ms. Franchi is qualified to serve on our board of directors because of her experience in leadership and management roles in the healthcare industry as well as her experience holding finance-related roles of increasing responsibility. </w:t>
      </w:r>
    </w:p>
    <w:p>
      <w:pPr>
        <w:pStyle w:val="TextBody"/>
        <w:bidi w:val="0"/>
        <w:spacing w:before="240" w:after="0"/>
        <w:jc w:val="left"/>
        <w:rPr>
          <w:rFonts w:ascii="Times New Roman" w:hAnsi="Times New Roman"/>
          <w:sz w:val="20"/>
        </w:rPr>
      </w:pPr>
      <w:r>
        <w:rPr>
          <w:rFonts w:ascii="Times New Roman" w:hAnsi="Times New Roman"/>
          <w:b/>
          <w:i/>
          <w:sz w:val="20"/>
        </w:rPr>
        <w:t>Hany Massarany</w:t>
      </w:r>
      <w:r>
        <w:rPr>
          <w:rFonts w:ascii="Times New Roman" w:hAnsi="Times New Roman"/>
          <w:sz w:val="20"/>
        </w:rPr>
        <w:t xml:space="preserve"> has served as a Director of the Company since July 2020. Mr. Massarany currently serves as both a director (since 2020) and chairman (since February 2023) of Accelerate Diagnostics. Mr. Massarany was President and Chief Executive Officer of GenMark Diagnostics, Inc., a provider of multiplex molecular diagnostic solutions, from April 2011 to March 2020. From February 2009 to April 2011, Mr. Massarany served as President at Ventana and Head of Roche Tissue Diagnostics, a division of F. Hoffman-La Roche Ltd. focused on manufacturing instruments and reagents that automate tissue processing and slide staining diagnostics for cancer. From 1999 to 2009, Mr. Massarany held various global leadership positions with Ventana, including Chief Operating Officer, Executive Vice President, Worldwide Operations, Senior Vice President, Corporate Strategy and Development, and Vice President, North American Commercial Operations. Mr. Massarany also held executive management positions with Bayer Diagnostics and Chiron Diagnostics, working in both the Asia Pacific region and the United States. Mr. Massarany served on the board of directors of GenMark Diagnostics, Inc. from May 2011 to February 2020. Mr. Massarany earned a B.S. in Microbiology and Immunology from Monash University in Australia and an M.B.A. from Melbourne University.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Massarany is qualified to serve on our board of directors because of his experience in leadership and management roles, and experience as a board member, in the healthcare industry. </w:t>
      </w:r>
    </w:p>
    <w:p>
      <w:pPr>
        <w:pStyle w:val="TextBody"/>
        <w:bidi w:val="0"/>
        <w:spacing w:before="240" w:after="0"/>
        <w:jc w:val="left"/>
        <w:rPr>
          <w:rFonts w:ascii="Times New Roman" w:hAnsi="Times New Roman"/>
          <w:sz w:val="20"/>
        </w:rPr>
      </w:pPr>
      <w:r>
        <w:rPr>
          <w:rFonts w:ascii="Times New Roman" w:hAnsi="Times New Roman"/>
          <w:b/>
          <w:i/>
          <w:sz w:val="20"/>
        </w:rPr>
        <w:t>Jack Schuler</w:t>
      </w:r>
      <w:r>
        <w:rPr>
          <w:rFonts w:ascii="Times New Roman" w:hAnsi="Times New Roman"/>
          <w:sz w:val="20"/>
        </w:rPr>
        <w:t xml:space="preserve"> has served as a Director of the Company since June 2008. Mr. Schuler served as a director of Ventana from 1991 and as chairman of the board from 1995 until Ventanas acquisition by Roche in 2008. Prior to joining Ventana, Mr. Schuler was President and Chief Operating Officer of Abbott Laboratories, a diversified healthcare company, which he joined in 1972 and where he held a number of management and marketing positions, also serving as a director from April 1985 to August 1989. Mr. Schuler is the co-founder of Crabtree Partners, a private investment partnership based in Lake Forest, Illinois, and the president and co-founder of the Schuler Scholar Program. Additionally, Mr. Schuler has served as a director of Medtronic plc (lead director), Stericycle, Inc. (chairman), Hansen Medical, Inc. and Quidel, and currently serves as a director (since 2012) of Accelerate Diagnostics. Mr. Schuler holds a B.S. in Mechanical Engineering from Tufts University and an M.B.A. from Stanford University Graduate School of Business.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Schuler is qualified to serve on our board of directors because of his experience in leadership and management roles in the healthcare industry, as well as his experience as a board member in the healthcare and medical device industries. </w:t>
      </w:r>
    </w:p>
    <w:p>
      <w:pPr>
        <w:pStyle w:val="TextBody"/>
        <w:bidi w:val="0"/>
        <w:spacing w:before="360" w:after="0"/>
        <w:jc w:val="left"/>
        <w:rPr>
          <w:rFonts w:ascii="Times New Roman" w:hAnsi="Times New Roman"/>
          <w:color w:val="305494"/>
          <w:sz w:val="28"/>
        </w:rPr>
      </w:pPr>
      <w:bookmarkStart w:id="7" w:name="toc674951_5"/>
      <w:bookmarkEnd w:id="7"/>
      <w:r>
        <w:rPr>
          <w:rFonts w:ascii="Times New Roman" w:hAnsi="Times New Roman"/>
          <w:color w:val="305494"/>
          <w:sz w:val="28"/>
        </w:rPr>
        <w:t xml:space="preserve">Board Composition </w:t>
      </w:r>
    </w:p>
    <w:p>
      <w:pPr>
        <w:pStyle w:val="TextBody"/>
        <w:bidi w:val="0"/>
        <w:spacing w:before="360" w:after="0"/>
        <w:jc w:val="left"/>
        <w:rPr>
          <w:rFonts w:ascii="Times New Roman" w:hAnsi="Times New Roman"/>
          <w:sz w:val="20"/>
        </w:rPr>
      </w:pPr>
      <w:r>
        <w:rPr>
          <w:rFonts w:ascii="Times New Roman" w:hAnsi="Times New Roman"/>
          <w:sz w:val="20"/>
        </w:rPr>
        <w:t xml:space="preserve">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are divided among the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204"/>
        <w:gridCol w:w="102"/>
        <w:gridCol w:w="9186"/>
      </w:tblGrid>
      <w:tr>
        <w:trPr/>
        <w:tc>
          <w:tcPr>
            <w:tcW w:w="71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 directors are Jon Faiz Kayyem, Ph.D., John Patience and Scott Hutton, and their terms will expire at the Annual Meeting;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12</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713"/>
        <w:gridCol w:w="203"/>
        <w:gridCol w:w="101"/>
        <w:gridCol w:w="9188"/>
      </w:tblGrid>
      <w:tr>
        <w:trPr/>
        <w:tc>
          <w:tcPr>
            <w:tcW w:w="71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II directors are Matthew Strobeck, Ph.D., Charles Watts, M.D., and Lawrence T. Kennedy, Jr., and their terms expire at the 2025 annual meeting of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203"/>
        <w:gridCol w:w="102"/>
        <w:gridCol w:w="9186"/>
      </w:tblGrid>
      <w:tr>
        <w:trPr/>
        <w:tc>
          <w:tcPr>
            <w:tcW w:w="714"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III directors are Jean Franchi, Hany Massarany and Jack Schuler, and their terms will expire at the 2026 annual meeting of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 third of the directors. Each directors term continues until the election and qualification of his or her successor, or, if sooner, his or her death, resignation or removal. </w:t>
      </w:r>
    </w:p>
    <w:p>
      <w:pPr>
        <w:pStyle w:val="TextBody"/>
        <w:bidi w:val="0"/>
        <w:spacing w:before="240" w:after="0"/>
        <w:jc w:val="left"/>
        <w:rPr>
          <w:rFonts w:ascii="Times New Roman" w:hAnsi="Times New Roman"/>
          <w:color w:val="305494"/>
          <w:sz w:val="28"/>
        </w:rPr>
      </w:pPr>
      <w:bookmarkStart w:id="8" w:name="toc674951_6"/>
      <w:bookmarkEnd w:id="8"/>
      <w:r>
        <w:rPr>
          <w:rFonts w:ascii="Times New Roman" w:hAnsi="Times New Roman"/>
          <w:color w:val="305494"/>
          <w:sz w:val="28"/>
        </w:rPr>
        <w:t xml:space="preserve">Director Independence </w:t>
      </w:r>
    </w:p>
    <w:p>
      <w:pPr>
        <w:pStyle w:val="TextBody"/>
        <w:bidi w:val="0"/>
        <w:spacing w:before="240" w:after="0"/>
        <w:jc w:val="left"/>
        <w:rPr>
          <w:rFonts w:ascii="Times New Roman" w:hAnsi="Times New Roman"/>
          <w:sz w:val="20"/>
        </w:rPr>
      </w:pPr>
      <w:r>
        <w:rPr>
          <w:rFonts w:ascii="Times New Roman" w:hAnsi="Times New Roman"/>
          <w:sz w:val="20"/>
        </w:rPr>
        <w:t xml:space="preserve">Under the listing requirements and rules of Nasdaq Stock Market (Nasdaq), independent directors must comprise a majority of our board of directors as a listed company within one year of the closing of our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Ms. Franchi, Messrs. Massarany, Schuler, Patience and Kennedy and Drs. Kayyem, Strobeck and Watts do not have any relationships that would interfere with the exercise of independent judgment in carrying out the responsibilities of a director and that each of these directors is independent as that term is defined under the applicable listing requirements and rules of Nasdaq.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w:t>
      </w:r>
    </w:p>
    <w:p>
      <w:pPr>
        <w:pStyle w:val="TextBody"/>
        <w:bidi w:val="0"/>
        <w:spacing w:before="240" w:after="0"/>
        <w:jc w:val="left"/>
        <w:rPr>
          <w:rFonts w:ascii="Times New Roman" w:hAnsi="Times New Roman"/>
          <w:color w:val="305494"/>
          <w:sz w:val="28"/>
        </w:rPr>
      </w:pPr>
      <w:bookmarkStart w:id="9" w:name="toc674951_7"/>
      <w:bookmarkEnd w:id="9"/>
      <w:r>
        <w:rPr>
          <w:rFonts w:ascii="Times New Roman" w:hAnsi="Times New Roman"/>
          <w:color w:val="305494"/>
          <w:sz w:val="28"/>
        </w:rPr>
        <w:t xml:space="preserve">Board Leadership Structure </w:t>
      </w:r>
    </w:p>
    <w:p>
      <w:pPr>
        <w:pStyle w:val="TextBody"/>
        <w:bidi w:val="0"/>
        <w:spacing w:before="240" w:after="0"/>
        <w:jc w:val="left"/>
        <w:rPr>
          <w:rFonts w:ascii="Times New Roman" w:hAnsi="Times New Roman"/>
          <w:sz w:val="20"/>
        </w:rPr>
      </w:pPr>
      <w:r>
        <w:rPr>
          <w:rFonts w:ascii="Times New Roman" w:hAnsi="Times New Roman"/>
          <w:sz w:val="20"/>
        </w:rPr>
        <w:t xml:space="preserve">Our corporate governance guidelines provide our board of directors with flexibility to combine or separate the positions of Chairman of the board of directors and the Chief Executive Officer and/or the implementation of a lead director in accordance with its determination that utilizing one or the other structure would be in the best interests of the Company. Mr. Patience currently serves as the independent Chairman of our board of directors. Our board of directors believes that separating these positions reinforces the independence of our board of directors from management, creates an environment that encourages objective oversight of managements performance and enhances the effectiveness of our board of directors as a whole. </w:t>
      </w:r>
    </w:p>
    <w:p>
      <w:pPr>
        <w:pStyle w:val="TextBody"/>
        <w:bidi w:val="0"/>
        <w:spacing w:before="240" w:after="0"/>
        <w:jc w:val="left"/>
        <w:rPr>
          <w:rFonts w:ascii="Times New Roman" w:hAnsi="Times New Roman"/>
          <w:color w:val="305494"/>
          <w:sz w:val="28"/>
        </w:rPr>
      </w:pPr>
      <w:bookmarkStart w:id="10" w:name="toc674951_8"/>
      <w:bookmarkEnd w:id="10"/>
      <w:r>
        <w:rPr>
          <w:rFonts w:ascii="Times New Roman" w:hAnsi="Times New Roman"/>
          <w:color w:val="305494"/>
          <w:sz w:val="28"/>
        </w:rPr>
        <w:t xml:space="preserve">Role of our Board of Directors in Risk Oversight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responsible for overseeing the overall risk management process at Biodesix. The day-to-day responsibility for managing risks and exposures resides with our executive management team while our board committees and our board of directors as a whole participate in the oversight process. The risk oversight process includes receiving regular reports from committees and management to enable our board of directors to understand managements risk assessment and mitigation processes, which includes areas of potential material risk, including long-term strategic and operational planning, strategic biopharmaceutical partnerships, executive development and evaluation, regulatory and legal compliance, information technology (including cybersecurity), financial reporting and internal controls and reputational risk. Our board of directors focuses 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13</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overall risks affecting us, and each of its standing committees has been delegated responsibility for oversight of specific risks that fall within its areas of responsibility.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204"/>
        <w:gridCol w:w="102"/>
        <w:gridCol w:w="9186"/>
      </w:tblGrid>
      <w:tr>
        <w:trPr/>
        <w:tc>
          <w:tcPr>
            <w:tcW w:w="71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audit committee is responsible for overseeing our major financial, legal and regulatory risk exposures, which spans a variety of areas including litigation, regulatory compliance, financial reporting, insurance and cybersecurity. Our audit committee also oversees the steps management has taken to monitor and control such exposures, including guidelines and policies for assessing and managing risk and related compliance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203"/>
        <w:gridCol w:w="101"/>
        <w:gridCol w:w="9188"/>
      </w:tblGrid>
      <w:tr>
        <w:trPr/>
        <w:tc>
          <w:tcPr>
            <w:tcW w:w="71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nominating and corporate governance committee oversees the management of risks associated with our overall compliance and corporate governance practices and the independence and composition of our board of directors, including monitoring the effectiveness of our corporate governance guidelines and cybersecurity risk profile and other policies such as our code of conduct and overseeing our environmental and sustainability efforts and progress.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204"/>
        <w:gridCol w:w="102"/>
        <w:gridCol w:w="9186"/>
      </w:tblGrid>
      <w:tr>
        <w:trPr/>
        <w:tc>
          <w:tcPr>
            <w:tcW w:w="71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compensation committee regularly assesses risks arising from our compensation plans, policies and programs, including whether any such plans encourage excessive or inappropriate risk-taking.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each committee is responsible for evaluating certain risks and overseeing the management of such risks, the full board of directors is regularly informed through committee reports about such risks. </w:t>
      </w:r>
    </w:p>
    <w:p>
      <w:pPr>
        <w:pStyle w:val="TextBody"/>
        <w:bidi w:val="0"/>
        <w:spacing w:before="240" w:after="0"/>
        <w:jc w:val="left"/>
        <w:rPr>
          <w:rFonts w:ascii="Times New Roman" w:hAnsi="Times New Roman"/>
          <w:color w:val="305494"/>
          <w:sz w:val="28"/>
        </w:rPr>
      </w:pPr>
      <w:bookmarkStart w:id="11" w:name="toc674951_9"/>
      <w:bookmarkEnd w:id="11"/>
      <w:r>
        <w:rPr>
          <w:rFonts w:ascii="Times New Roman" w:hAnsi="Times New Roman"/>
          <w:color w:val="305494"/>
          <w:sz w:val="28"/>
        </w:rPr>
        <w:t xml:space="preserve">Meetings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held five meetings during 2023. Each incumbent director attended at least 75% of the aggregate total number of meetings of the board of directors and the committees on which he or she served held during the portion of 2023 for which he or she was a director or committee member. We encourage our directors to attend our annual meetings of stockholders. Six directors, including our Chief Executive Officer, Mr.  Hutton, attended our 2023 annual meeting of stockholders. </w:t>
      </w:r>
    </w:p>
    <w:p>
      <w:pPr>
        <w:pStyle w:val="TextBody"/>
        <w:bidi w:val="0"/>
        <w:spacing w:before="240" w:after="0"/>
        <w:jc w:val="left"/>
        <w:rPr>
          <w:rFonts w:ascii="Times New Roman" w:hAnsi="Times New Roman"/>
          <w:color w:val="305494"/>
          <w:sz w:val="28"/>
        </w:rPr>
      </w:pPr>
      <w:bookmarkStart w:id="12" w:name="toc674951_10"/>
      <w:bookmarkEnd w:id="12"/>
      <w:r>
        <w:rPr>
          <w:rFonts w:ascii="Times New Roman" w:hAnsi="Times New Roman"/>
          <w:color w:val="305494"/>
          <w:sz w:val="28"/>
        </w:rPr>
        <w:t xml:space="preserve">Committees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The charter of each committee is available on our corporate website at www.biodesix.com in the Investors section under GovernanceGovernance Highlights. Reference to our website does not constitute incorporation by reference of the information contained at or accessible through our website into this proxy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14</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color w:val="305494"/>
          <w:sz w:val="20"/>
        </w:rPr>
      </w:pPr>
      <w:bookmarkStart w:id="13" w:name="toc674951_11"/>
      <w:bookmarkEnd w:id="13"/>
      <w:r>
        <w:rPr>
          <w:rFonts w:ascii="Times New Roman" w:hAnsi="Times New Roman"/>
          <w:b/>
          <w:color w:val="305494"/>
          <w:sz w:val="20"/>
        </w:rPr>
        <w:t xml:space="preserve">Committee Composition and Meetings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current membership and 2023 meeting information for each committee of our board of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57"/>
        <w:gridCol w:w="776"/>
        <w:gridCol w:w="1204"/>
        <w:gridCol w:w="776"/>
        <w:gridCol w:w="1493"/>
        <w:gridCol w:w="776"/>
        <w:gridCol w:w="2823"/>
      </w:tblGrid>
      <w:tr>
        <w:trPr/>
        <w:tc>
          <w:tcPr>
            <w:tcW w:w="2357" w:type="dxa"/>
            <w:tcBorders/>
            <w:vAlign w:val="center"/>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r>
      <w:tr>
        <w:trPr/>
        <w:tc>
          <w:tcPr>
            <w:tcW w:w="2357" w:type="dxa"/>
            <w:tcBorders>
              <w:bottom w:val="single" w:sz="8" w:space="0" w:color="000000"/>
            </w:tcBorders>
            <w:tcMar>
              <w:bottom w:w="28" w:type="dxa"/>
            </w:tcMar>
            <w:vAlign w:val="bottom"/>
          </w:tcPr>
          <w:p>
            <w:pPr>
              <w:pStyle w:val="TableContents"/>
              <w:bidi w:val="0"/>
              <w:spacing w:before="0" w:after="20"/>
              <w:jc w:val="left"/>
              <w:rPr/>
            </w:pPr>
            <w:r>
              <w:rPr/>
              <w:t> </w:t>
            </w:r>
            <w:r>
              <w:rPr>
                <w:rFonts w:ascii="Times New Roman" w:hAnsi="Times New Roman"/>
                <w:b/>
                <w:sz w:val="16"/>
              </w:rPr>
              <w:t>Name:</w:t>
            </w:r>
          </w:p>
        </w:tc>
        <w:tc>
          <w:tcPr>
            <w:tcW w:w="776" w:type="dxa"/>
            <w:tcBorders/>
            <w:vAlign w:val="bottom"/>
          </w:tcPr>
          <w:p>
            <w:pPr>
              <w:pStyle w:val="TableContents"/>
              <w:bidi w:val="0"/>
              <w:spacing w:before="0" w:after="283"/>
              <w:jc w:val="left"/>
              <w:rPr/>
            </w:pPr>
            <w:r>
              <w:rPr/>
              <w:t>  </w:t>
            </w:r>
          </w:p>
        </w:tc>
        <w:tc>
          <w:tcPr>
            <w:tcW w:w="1204" w:type="dxa"/>
            <w:tcBorders>
              <w:bottom w:val="single" w:sz="8" w:space="0" w:color="000000"/>
            </w:tcBorders>
            <w:tcMar>
              <w:bottom w:w="28" w:type="dxa"/>
            </w:tcMar>
            <w:vAlign w:val="bottom"/>
          </w:tcPr>
          <w:p>
            <w:pPr>
              <w:pStyle w:val="TableContents"/>
              <w:bidi w:val="0"/>
              <w:spacing w:before="0" w:after="283"/>
              <w:jc w:val="center"/>
              <w:rPr>
                <w:b/>
              </w:rPr>
            </w:pPr>
            <w:r>
              <w:rPr>
                <w:b/>
              </w:rPr>
              <w:t>Audit Committee</w:t>
            </w:r>
          </w:p>
        </w:tc>
        <w:tc>
          <w:tcPr>
            <w:tcW w:w="776" w:type="dxa"/>
            <w:tcBorders/>
            <w:vAlign w:val="bottom"/>
          </w:tcPr>
          <w:p>
            <w:pPr>
              <w:pStyle w:val="TableContents"/>
              <w:bidi w:val="0"/>
              <w:spacing w:before="0" w:after="283"/>
              <w:jc w:val="left"/>
              <w:rPr/>
            </w:pPr>
            <w:r>
              <w:rPr/>
              <w:t>  </w:t>
            </w:r>
          </w:p>
        </w:tc>
        <w:tc>
          <w:tcPr>
            <w:tcW w:w="1493" w:type="dxa"/>
            <w:tcBorders>
              <w:bottom w:val="single" w:sz="8" w:space="0" w:color="000000"/>
            </w:tcBorders>
            <w:tcMar>
              <w:bottom w:w="28" w:type="dxa"/>
            </w:tcMar>
            <w:vAlign w:val="bottom"/>
          </w:tcPr>
          <w:p>
            <w:pPr>
              <w:pStyle w:val="TableContents"/>
              <w:bidi w:val="0"/>
              <w:spacing w:before="0" w:after="283"/>
              <w:jc w:val="center"/>
              <w:rPr>
                <w:b/>
              </w:rPr>
            </w:pPr>
            <w:r>
              <w:rPr>
                <w:b/>
              </w:rPr>
              <w:t>Compensation</w:t>
              <w:br/>
              <w:t>Committee</w:t>
            </w:r>
          </w:p>
        </w:tc>
        <w:tc>
          <w:tcPr>
            <w:tcW w:w="776" w:type="dxa"/>
            <w:tcBorders/>
            <w:vAlign w:val="bottom"/>
          </w:tcPr>
          <w:p>
            <w:pPr>
              <w:pStyle w:val="TableContents"/>
              <w:bidi w:val="0"/>
              <w:spacing w:before="0" w:after="283"/>
              <w:jc w:val="left"/>
              <w:rPr/>
            </w:pPr>
            <w:r>
              <w:rPr/>
              <w:t>  </w:t>
            </w:r>
          </w:p>
        </w:tc>
        <w:tc>
          <w:tcPr>
            <w:tcW w:w="2823" w:type="dxa"/>
            <w:tcBorders>
              <w:bottom w:val="single" w:sz="8" w:space="0" w:color="000000"/>
            </w:tcBorders>
            <w:tcMar>
              <w:bottom w:w="28" w:type="dxa"/>
            </w:tcMar>
            <w:vAlign w:val="bottom"/>
          </w:tcPr>
          <w:p>
            <w:pPr>
              <w:pStyle w:val="TableContents"/>
              <w:bidi w:val="0"/>
              <w:spacing w:before="0" w:after="283"/>
              <w:jc w:val="center"/>
              <w:rPr>
                <w:b/>
              </w:rPr>
            </w:pPr>
            <w:r>
              <w:rPr>
                <w:b/>
              </w:rPr>
              <w:t>Nominating and Corporate</w:t>
              <w:br/>
              <w:t>Governance Committee</w:t>
            </w:r>
          </w:p>
        </w:tc>
      </w:tr>
      <w:tr>
        <w:trPr/>
        <w:tc>
          <w:tcPr>
            <w:tcW w:w="2357" w:type="dxa"/>
            <w:tcBorders/>
            <w:shd w:fill="F2F2F2" w:val="clear"/>
          </w:tcPr>
          <w:p>
            <w:pPr>
              <w:pStyle w:val="TableContents"/>
              <w:bidi w:val="0"/>
              <w:spacing w:before="0" w:after="0"/>
              <w:jc w:val="left"/>
              <w:rPr/>
            </w:pPr>
            <w:r>
              <w:rPr/>
              <w:t> </w:t>
            </w:r>
            <w:r>
              <w:rPr>
                <w:rFonts w:ascii="Times New Roman" w:hAnsi="Times New Roman"/>
                <w:sz w:val="20"/>
              </w:rPr>
              <w:t>Jean Franchi</w:t>
            </w:r>
          </w:p>
        </w:tc>
        <w:tc>
          <w:tcPr>
            <w:tcW w:w="776" w:type="dxa"/>
            <w:tcBorders/>
            <w:shd w:fill="F2F2F2" w:val="clear"/>
            <w:vAlign w:val="bottom"/>
          </w:tcPr>
          <w:p>
            <w:pPr>
              <w:pStyle w:val="TableContents"/>
              <w:bidi w:val="0"/>
              <w:spacing w:before="0" w:after="283"/>
              <w:jc w:val="left"/>
              <w:rPr/>
            </w:pPr>
            <w:r>
              <w:rPr/>
              <w:t>  </w:t>
            </w:r>
          </w:p>
        </w:tc>
        <w:tc>
          <w:tcPr>
            <w:tcW w:w="1204" w:type="dxa"/>
            <w:tcBorders/>
            <w:shd w:fill="F2F2F2" w:val="clear"/>
            <w:vAlign w:val="bottom"/>
          </w:tcPr>
          <w:p>
            <w:pPr>
              <w:pStyle w:val="TableContents"/>
              <w:bidi w:val="0"/>
              <w:spacing w:before="0" w:after="283"/>
              <w:jc w:val="center"/>
              <w:rPr/>
            </w:pPr>
            <w:r>
              <w:rPr/>
              <w:t>Chair</w:t>
            </w:r>
          </w:p>
        </w:tc>
        <w:tc>
          <w:tcPr>
            <w:tcW w:w="776" w:type="dxa"/>
            <w:tcBorders/>
            <w:shd w:fill="F2F2F2" w:val="clear"/>
            <w:vAlign w:val="bottom"/>
          </w:tcPr>
          <w:p>
            <w:pPr>
              <w:pStyle w:val="TableContents"/>
              <w:bidi w:val="0"/>
              <w:spacing w:before="0" w:after="283"/>
              <w:jc w:val="left"/>
              <w:rPr/>
            </w:pPr>
            <w:r>
              <w:rPr/>
              <w:t>  </w:t>
            </w:r>
          </w:p>
        </w:tc>
        <w:tc>
          <w:tcPr>
            <w:tcW w:w="1493" w:type="dxa"/>
            <w:tcBorders/>
            <w:shd w:fill="F2F2F2" w:val="clear"/>
            <w:vAlign w:val="bottom"/>
          </w:tcPr>
          <w:p>
            <w:pPr>
              <w:pStyle w:val="TableContents"/>
              <w:bidi w:val="0"/>
              <w:spacing w:before="0" w:after="283"/>
              <w:jc w:val="left"/>
              <w:rPr>
                <w:sz w:val="4"/>
                <w:szCs w:val="4"/>
              </w:rPr>
            </w:pPr>
            <w:r>
              <w:rPr>
                <w:sz w:val="4"/>
                <w:szCs w:val="4"/>
              </w:rPr>
            </w:r>
          </w:p>
        </w:tc>
        <w:tc>
          <w:tcPr>
            <w:tcW w:w="776" w:type="dxa"/>
            <w:tcBorders/>
            <w:shd w:fill="F2F2F2" w:val="clear"/>
            <w:vAlign w:val="bottom"/>
          </w:tcPr>
          <w:p>
            <w:pPr>
              <w:pStyle w:val="TableContents"/>
              <w:bidi w:val="0"/>
              <w:spacing w:before="0" w:after="283"/>
              <w:jc w:val="left"/>
              <w:rPr/>
            </w:pPr>
            <w:r>
              <w:rPr/>
              <w:t>  </w:t>
            </w:r>
          </w:p>
        </w:tc>
        <w:tc>
          <w:tcPr>
            <w:tcW w:w="2823" w:type="dxa"/>
            <w:tcBorders/>
            <w:shd w:fill="F2F2F2" w:val="clear"/>
            <w:vAlign w:val="bottom"/>
          </w:tcPr>
          <w:p>
            <w:pPr>
              <w:pStyle w:val="TableContents"/>
              <w:bidi w:val="0"/>
              <w:spacing w:before="0" w:after="283"/>
              <w:jc w:val="center"/>
              <w:rPr/>
            </w:pPr>
            <w:r>
              <w:rPr/>
              <w:t>X</w:t>
            </w:r>
          </w:p>
        </w:tc>
      </w:tr>
      <w:tr>
        <w:trPr/>
        <w:tc>
          <w:tcPr>
            <w:tcW w:w="2357" w:type="dxa"/>
            <w:tcBorders/>
          </w:tcPr>
          <w:p>
            <w:pPr>
              <w:pStyle w:val="TableContents"/>
              <w:bidi w:val="0"/>
              <w:spacing w:before="0" w:after="0"/>
              <w:jc w:val="left"/>
              <w:rPr/>
            </w:pPr>
            <w:r>
              <w:rPr/>
              <w:t> </w:t>
            </w:r>
            <w:r>
              <w:rPr>
                <w:rFonts w:ascii="Times New Roman" w:hAnsi="Times New Roman"/>
                <w:sz w:val="20"/>
              </w:rPr>
              <w:t>Jon Faiz Kayyem, Ph.D.</w:t>
            </w:r>
          </w:p>
        </w:tc>
        <w:tc>
          <w:tcPr>
            <w:tcW w:w="77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center"/>
              <w:rPr/>
            </w:pPr>
            <w:r>
              <w:rPr/>
              <w:t>X</w:t>
            </w:r>
          </w:p>
        </w:tc>
        <w:tc>
          <w:tcPr>
            <w:tcW w:w="776" w:type="dxa"/>
            <w:tcBorders/>
            <w:vAlign w:val="bottom"/>
          </w:tcPr>
          <w:p>
            <w:pPr>
              <w:pStyle w:val="TableContents"/>
              <w:bidi w:val="0"/>
              <w:spacing w:before="0" w:after="283"/>
              <w:jc w:val="left"/>
              <w:rPr/>
            </w:pPr>
            <w:r>
              <w:rPr/>
              <w:t>  </w:t>
            </w:r>
          </w:p>
        </w:tc>
        <w:tc>
          <w:tcPr>
            <w:tcW w:w="2823" w:type="dxa"/>
            <w:tcBorders/>
            <w:vAlign w:val="bottom"/>
          </w:tcPr>
          <w:p>
            <w:pPr>
              <w:pStyle w:val="TableContents"/>
              <w:bidi w:val="0"/>
              <w:spacing w:before="0" w:after="283"/>
              <w:jc w:val="left"/>
              <w:rPr>
                <w:sz w:val="4"/>
                <w:szCs w:val="4"/>
              </w:rPr>
            </w:pPr>
            <w:r>
              <w:rPr>
                <w:sz w:val="4"/>
                <w:szCs w:val="4"/>
              </w:rPr>
            </w:r>
          </w:p>
        </w:tc>
      </w:tr>
      <w:tr>
        <w:trPr/>
        <w:tc>
          <w:tcPr>
            <w:tcW w:w="2357" w:type="dxa"/>
            <w:tcBorders/>
            <w:shd w:fill="F2F2F2" w:val="clear"/>
          </w:tcPr>
          <w:p>
            <w:pPr>
              <w:pStyle w:val="TableContents"/>
              <w:bidi w:val="0"/>
              <w:spacing w:before="0" w:after="0"/>
              <w:jc w:val="left"/>
              <w:rPr/>
            </w:pPr>
            <w:r>
              <w:rPr/>
              <w:t> </w:t>
            </w:r>
            <w:r>
              <w:rPr>
                <w:rFonts w:ascii="Times New Roman" w:hAnsi="Times New Roman"/>
                <w:sz w:val="20"/>
              </w:rPr>
              <w:t>Lawrence T. Kennedy, Jr.</w:t>
            </w:r>
          </w:p>
        </w:tc>
        <w:tc>
          <w:tcPr>
            <w:tcW w:w="776" w:type="dxa"/>
            <w:tcBorders/>
            <w:shd w:fill="F2F2F2" w:val="clear"/>
            <w:vAlign w:val="bottom"/>
          </w:tcPr>
          <w:p>
            <w:pPr>
              <w:pStyle w:val="TableContents"/>
              <w:bidi w:val="0"/>
              <w:spacing w:before="0" w:after="283"/>
              <w:jc w:val="left"/>
              <w:rPr/>
            </w:pPr>
            <w:r>
              <w:rPr/>
              <w:t>  </w:t>
            </w:r>
          </w:p>
        </w:tc>
        <w:tc>
          <w:tcPr>
            <w:tcW w:w="1204" w:type="dxa"/>
            <w:tcBorders/>
            <w:shd w:fill="F2F2F2" w:val="clear"/>
            <w:vAlign w:val="bottom"/>
          </w:tcPr>
          <w:p>
            <w:pPr>
              <w:pStyle w:val="TableContents"/>
              <w:bidi w:val="0"/>
              <w:spacing w:before="0" w:after="283"/>
              <w:jc w:val="center"/>
              <w:rPr/>
            </w:pPr>
            <w:r>
              <w:rPr/>
              <w:t>X</w:t>
            </w:r>
          </w:p>
        </w:tc>
        <w:tc>
          <w:tcPr>
            <w:tcW w:w="776" w:type="dxa"/>
            <w:tcBorders/>
            <w:shd w:fill="F2F2F2" w:val="clear"/>
            <w:vAlign w:val="bottom"/>
          </w:tcPr>
          <w:p>
            <w:pPr>
              <w:pStyle w:val="TableContents"/>
              <w:bidi w:val="0"/>
              <w:spacing w:before="0" w:after="283"/>
              <w:jc w:val="left"/>
              <w:rPr/>
            </w:pPr>
            <w:r>
              <w:rPr/>
              <w:t>  </w:t>
            </w:r>
          </w:p>
        </w:tc>
        <w:tc>
          <w:tcPr>
            <w:tcW w:w="1493" w:type="dxa"/>
            <w:tcBorders/>
            <w:shd w:fill="F2F2F2" w:val="clear"/>
            <w:vAlign w:val="bottom"/>
          </w:tcPr>
          <w:p>
            <w:pPr>
              <w:pStyle w:val="TableContents"/>
              <w:bidi w:val="0"/>
              <w:spacing w:before="0" w:after="283"/>
              <w:jc w:val="left"/>
              <w:rPr>
                <w:sz w:val="4"/>
                <w:szCs w:val="4"/>
              </w:rPr>
            </w:pPr>
            <w:r>
              <w:rPr>
                <w:sz w:val="4"/>
                <w:szCs w:val="4"/>
              </w:rPr>
            </w:r>
          </w:p>
        </w:tc>
        <w:tc>
          <w:tcPr>
            <w:tcW w:w="776" w:type="dxa"/>
            <w:tcBorders/>
            <w:shd w:fill="F2F2F2" w:val="clear"/>
            <w:vAlign w:val="bottom"/>
          </w:tcPr>
          <w:p>
            <w:pPr>
              <w:pStyle w:val="TableContents"/>
              <w:bidi w:val="0"/>
              <w:spacing w:before="0" w:after="283"/>
              <w:jc w:val="left"/>
              <w:rPr/>
            </w:pPr>
            <w:r>
              <w:rPr/>
              <w:t>  </w:t>
            </w:r>
          </w:p>
        </w:tc>
        <w:tc>
          <w:tcPr>
            <w:tcW w:w="2823" w:type="dxa"/>
            <w:tcBorders/>
            <w:shd w:fill="F2F2F2" w:val="clear"/>
            <w:vAlign w:val="bottom"/>
          </w:tcPr>
          <w:p>
            <w:pPr>
              <w:pStyle w:val="TableContents"/>
              <w:bidi w:val="0"/>
              <w:spacing w:before="0" w:after="283"/>
              <w:jc w:val="left"/>
              <w:rPr>
                <w:sz w:val="4"/>
                <w:szCs w:val="4"/>
              </w:rPr>
            </w:pPr>
            <w:r>
              <w:rPr>
                <w:sz w:val="4"/>
                <w:szCs w:val="4"/>
              </w:rPr>
            </w:r>
          </w:p>
        </w:tc>
      </w:tr>
      <w:tr>
        <w:trPr/>
        <w:tc>
          <w:tcPr>
            <w:tcW w:w="2357" w:type="dxa"/>
            <w:tcBorders/>
          </w:tcPr>
          <w:p>
            <w:pPr>
              <w:pStyle w:val="TableContents"/>
              <w:bidi w:val="0"/>
              <w:spacing w:before="0" w:after="0"/>
              <w:jc w:val="left"/>
              <w:rPr/>
            </w:pPr>
            <w:r>
              <w:rPr/>
              <w:t> </w:t>
            </w:r>
            <w:r>
              <w:rPr>
                <w:rFonts w:ascii="Times New Roman" w:hAnsi="Times New Roman"/>
                <w:sz w:val="20"/>
              </w:rPr>
              <w:t>Hany Massarany</w:t>
            </w:r>
          </w:p>
        </w:tc>
        <w:tc>
          <w:tcPr>
            <w:tcW w:w="77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pPr>
            <w:r>
              <w:rPr/>
              <w:t>X</w:t>
            </w:r>
          </w:p>
        </w:tc>
        <w:tc>
          <w:tcPr>
            <w:tcW w:w="77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center"/>
              <w:rPr/>
            </w:pPr>
            <w:r>
              <w:rPr/>
              <w:t>Chair</w:t>
            </w:r>
          </w:p>
        </w:tc>
        <w:tc>
          <w:tcPr>
            <w:tcW w:w="776" w:type="dxa"/>
            <w:tcBorders/>
            <w:vAlign w:val="bottom"/>
          </w:tcPr>
          <w:p>
            <w:pPr>
              <w:pStyle w:val="TableContents"/>
              <w:bidi w:val="0"/>
              <w:spacing w:before="0" w:after="283"/>
              <w:jc w:val="left"/>
              <w:rPr/>
            </w:pPr>
            <w:r>
              <w:rPr/>
              <w:t>  </w:t>
            </w:r>
          </w:p>
        </w:tc>
        <w:tc>
          <w:tcPr>
            <w:tcW w:w="2823" w:type="dxa"/>
            <w:tcBorders/>
            <w:vAlign w:val="bottom"/>
          </w:tcPr>
          <w:p>
            <w:pPr>
              <w:pStyle w:val="TableContents"/>
              <w:bidi w:val="0"/>
              <w:spacing w:before="0" w:after="283"/>
              <w:jc w:val="left"/>
              <w:rPr>
                <w:sz w:val="4"/>
                <w:szCs w:val="4"/>
              </w:rPr>
            </w:pPr>
            <w:r>
              <w:rPr>
                <w:sz w:val="4"/>
                <w:szCs w:val="4"/>
              </w:rPr>
            </w:r>
          </w:p>
        </w:tc>
      </w:tr>
      <w:tr>
        <w:trPr/>
        <w:tc>
          <w:tcPr>
            <w:tcW w:w="2357" w:type="dxa"/>
            <w:tcBorders/>
            <w:shd w:fill="F2F2F2" w:val="clear"/>
          </w:tcPr>
          <w:p>
            <w:pPr>
              <w:pStyle w:val="TableContents"/>
              <w:bidi w:val="0"/>
              <w:spacing w:before="0" w:after="0"/>
              <w:jc w:val="left"/>
              <w:rPr/>
            </w:pPr>
            <w:r>
              <w:rPr/>
              <w:t> </w:t>
            </w:r>
            <w:r>
              <w:rPr>
                <w:rFonts w:ascii="Times New Roman" w:hAnsi="Times New Roman"/>
                <w:sz w:val="20"/>
              </w:rPr>
              <w:t>John Patience</w:t>
            </w:r>
          </w:p>
        </w:tc>
        <w:tc>
          <w:tcPr>
            <w:tcW w:w="776" w:type="dxa"/>
            <w:tcBorders/>
            <w:shd w:fill="F2F2F2" w:val="clear"/>
            <w:vAlign w:val="bottom"/>
          </w:tcPr>
          <w:p>
            <w:pPr>
              <w:pStyle w:val="TableContents"/>
              <w:bidi w:val="0"/>
              <w:spacing w:before="0" w:after="283"/>
              <w:jc w:val="left"/>
              <w:rPr/>
            </w:pPr>
            <w:r>
              <w:rPr/>
              <w:t>  </w:t>
            </w:r>
          </w:p>
        </w:tc>
        <w:tc>
          <w:tcPr>
            <w:tcW w:w="1204" w:type="dxa"/>
            <w:tcBorders/>
            <w:shd w:fill="F2F2F2" w:val="clear"/>
            <w:vAlign w:val="bottom"/>
          </w:tcPr>
          <w:p>
            <w:pPr>
              <w:pStyle w:val="TableContents"/>
              <w:bidi w:val="0"/>
              <w:spacing w:before="0" w:after="283"/>
              <w:jc w:val="left"/>
              <w:rPr>
                <w:sz w:val="4"/>
                <w:szCs w:val="4"/>
              </w:rPr>
            </w:pPr>
            <w:r>
              <w:rPr>
                <w:sz w:val="4"/>
                <w:szCs w:val="4"/>
              </w:rPr>
            </w:r>
          </w:p>
        </w:tc>
        <w:tc>
          <w:tcPr>
            <w:tcW w:w="776" w:type="dxa"/>
            <w:tcBorders/>
            <w:shd w:fill="F2F2F2" w:val="clear"/>
            <w:vAlign w:val="bottom"/>
          </w:tcPr>
          <w:p>
            <w:pPr>
              <w:pStyle w:val="TableContents"/>
              <w:bidi w:val="0"/>
              <w:spacing w:before="0" w:after="283"/>
              <w:jc w:val="left"/>
              <w:rPr/>
            </w:pPr>
            <w:r>
              <w:rPr/>
              <w:t>  </w:t>
            </w:r>
          </w:p>
        </w:tc>
        <w:tc>
          <w:tcPr>
            <w:tcW w:w="1493" w:type="dxa"/>
            <w:tcBorders/>
            <w:shd w:fill="F2F2F2" w:val="clear"/>
            <w:vAlign w:val="bottom"/>
          </w:tcPr>
          <w:p>
            <w:pPr>
              <w:pStyle w:val="TableContents"/>
              <w:bidi w:val="0"/>
              <w:spacing w:before="0" w:after="283"/>
              <w:jc w:val="center"/>
              <w:rPr/>
            </w:pPr>
            <w:r>
              <w:rPr/>
              <w:t>X</w:t>
            </w:r>
          </w:p>
        </w:tc>
        <w:tc>
          <w:tcPr>
            <w:tcW w:w="776" w:type="dxa"/>
            <w:tcBorders/>
            <w:shd w:fill="F2F2F2" w:val="clear"/>
            <w:vAlign w:val="bottom"/>
          </w:tcPr>
          <w:p>
            <w:pPr>
              <w:pStyle w:val="TableContents"/>
              <w:bidi w:val="0"/>
              <w:spacing w:before="0" w:after="283"/>
              <w:jc w:val="left"/>
              <w:rPr/>
            </w:pPr>
            <w:r>
              <w:rPr/>
              <w:t>  </w:t>
            </w:r>
          </w:p>
        </w:tc>
        <w:tc>
          <w:tcPr>
            <w:tcW w:w="2823" w:type="dxa"/>
            <w:tcBorders/>
            <w:shd w:fill="F2F2F2" w:val="clear"/>
            <w:vAlign w:val="bottom"/>
          </w:tcPr>
          <w:p>
            <w:pPr>
              <w:pStyle w:val="TableContents"/>
              <w:bidi w:val="0"/>
              <w:spacing w:before="0" w:after="283"/>
              <w:jc w:val="left"/>
              <w:rPr>
                <w:sz w:val="4"/>
                <w:szCs w:val="4"/>
              </w:rPr>
            </w:pPr>
            <w:r>
              <w:rPr>
                <w:sz w:val="4"/>
                <w:szCs w:val="4"/>
              </w:rPr>
            </w:r>
          </w:p>
        </w:tc>
      </w:tr>
      <w:tr>
        <w:trPr/>
        <w:tc>
          <w:tcPr>
            <w:tcW w:w="2357" w:type="dxa"/>
            <w:tcBorders/>
          </w:tcPr>
          <w:p>
            <w:pPr>
              <w:pStyle w:val="TableContents"/>
              <w:bidi w:val="0"/>
              <w:spacing w:before="0" w:after="0"/>
              <w:jc w:val="left"/>
              <w:rPr/>
            </w:pPr>
            <w:r>
              <w:rPr/>
              <w:t> </w:t>
            </w:r>
            <w:r>
              <w:rPr>
                <w:rFonts w:ascii="Times New Roman" w:hAnsi="Times New Roman"/>
                <w:sz w:val="20"/>
              </w:rPr>
              <w:t>Jack Schuler</w:t>
            </w:r>
          </w:p>
        </w:tc>
        <w:tc>
          <w:tcPr>
            <w:tcW w:w="77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pPr>
            <w:r>
              <w:rPr/>
              <w:t>  </w:t>
            </w:r>
          </w:p>
        </w:tc>
        <w:tc>
          <w:tcPr>
            <w:tcW w:w="2823" w:type="dxa"/>
            <w:tcBorders/>
            <w:vAlign w:val="bottom"/>
          </w:tcPr>
          <w:p>
            <w:pPr>
              <w:pStyle w:val="TableContents"/>
              <w:bidi w:val="0"/>
              <w:spacing w:before="0" w:after="283"/>
              <w:jc w:val="center"/>
              <w:rPr/>
            </w:pPr>
            <w:r>
              <w:rPr/>
              <w:t>X</w:t>
            </w:r>
          </w:p>
        </w:tc>
      </w:tr>
      <w:tr>
        <w:trPr/>
        <w:tc>
          <w:tcPr>
            <w:tcW w:w="2357" w:type="dxa"/>
            <w:tcBorders/>
            <w:shd w:fill="F2F2F2" w:val="clear"/>
          </w:tcPr>
          <w:p>
            <w:pPr>
              <w:pStyle w:val="TableContents"/>
              <w:bidi w:val="0"/>
              <w:spacing w:before="0" w:after="0"/>
              <w:jc w:val="left"/>
              <w:rPr/>
            </w:pPr>
            <w:r>
              <w:rPr/>
              <w:t> </w:t>
            </w:r>
            <w:r>
              <w:rPr>
                <w:rFonts w:ascii="Times New Roman" w:hAnsi="Times New Roman"/>
                <w:sz w:val="20"/>
              </w:rPr>
              <w:t>Matthew Strobeck, Ph.D.</w:t>
            </w:r>
          </w:p>
        </w:tc>
        <w:tc>
          <w:tcPr>
            <w:tcW w:w="776" w:type="dxa"/>
            <w:tcBorders/>
            <w:shd w:fill="F2F2F2" w:val="clear"/>
            <w:vAlign w:val="bottom"/>
          </w:tcPr>
          <w:p>
            <w:pPr>
              <w:pStyle w:val="TableContents"/>
              <w:bidi w:val="0"/>
              <w:spacing w:before="0" w:after="283"/>
              <w:jc w:val="left"/>
              <w:rPr/>
            </w:pPr>
            <w:r>
              <w:rPr/>
              <w:t>  </w:t>
            </w:r>
          </w:p>
        </w:tc>
        <w:tc>
          <w:tcPr>
            <w:tcW w:w="1204" w:type="dxa"/>
            <w:tcBorders/>
            <w:shd w:fill="F2F2F2" w:val="clear"/>
            <w:vAlign w:val="bottom"/>
          </w:tcPr>
          <w:p>
            <w:pPr>
              <w:pStyle w:val="TableContents"/>
              <w:bidi w:val="0"/>
              <w:spacing w:before="0" w:after="283"/>
              <w:jc w:val="center"/>
              <w:rPr/>
            </w:pPr>
            <w:r>
              <w:rPr/>
              <w:t>X</w:t>
            </w:r>
          </w:p>
        </w:tc>
        <w:tc>
          <w:tcPr>
            <w:tcW w:w="776" w:type="dxa"/>
            <w:tcBorders/>
            <w:shd w:fill="F2F2F2" w:val="clear"/>
            <w:vAlign w:val="bottom"/>
          </w:tcPr>
          <w:p>
            <w:pPr>
              <w:pStyle w:val="TableContents"/>
              <w:bidi w:val="0"/>
              <w:spacing w:before="0" w:after="283"/>
              <w:jc w:val="left"/>
              <w:rPr/>
            </w:pPr>
            <w:r>
              <w:rPr/>
              <w:t>  </w:t>
            </w:r>
          </w:p>
        </w:tc>
        <w:tc>
          <w:tcPr>
            <w:tcW w:w="1493" w:type="dxa"/>
            <w:tcBorders/>
            <w:shd w:fill="F2F2F2" w:val="clear"/>
            <w:vAlign w:val="bottom"/>
          </w:tcPr>
          <w:p>
            <w:pPr>
              <w:pStyle w:val="TableContents"/>
              <w:bidi w:val="0"/>
              <w:spacing w:before="0" w:after="283"/>
              <w:jc w:val="left"/>
              <w:rPr>
                <w:sz w:val="4"/>
                <w:szCs w:val="4"/>
              </w:rPr>
            </w:pPr>
            <w:r>
              <w:rPr>
                <w:sz w:val="4"/>
                <w:szCs w:val="4"/>
              </w:rPr>
            </w:r>
          </w:p>
        </w:tc>
        <w:tc>
          <w:tcPr>
            <w:tcW w:w="776" w:type="dxa"/>
            <w:tcBorders/>
            <w:shd w:fill="F2F2F2" w:val="clear"/>
            <w:vAlign w:val="bottom"/>
          </w:tcPr>
          <w:p>
            <w:pPr>
              <w:pStyle w:val="TableContents"/>
              <w:bidi w:val="0"/>
              <w:spacing w:before="0" w:after="283"/>
              <w:jc w:val="left"/>
              <w:rPr/>
            </w:pPr>
            <w:r>
              <w:rPr/>
              <w:t>  </w:t>
            </w:r>
          </w:p>
        </w:tc>
        <w:tc>
          <w:tcPr>
            <w:tcW w:w="2823" w:type="dxa"/>
            <w:tcBorders/>
            <w:shd w:fill="F2F2F2" w:val="clear"/>
            <w:vAlign w:val="bottom"/>
          </w:tcPr>
          <w:p>
            <w:pPr>
              <w:pStyle w:val="TableContents"/>
              <w:bidi w:val="0"/>
              <w:spacing w:before="0" w:after="283"/>
              <w:jc w:val="center"/>
              <w:rPr/>
            </w:pPr>
            <w:r>
              <w:rPr/>
              <w:t>Chair</w:t>
            </w:r>
          </w:p>
        </w:tc>
      </w:tr>
      <w:tr>
        <w:trPr/>
        <w:tc>
          <w:tcPr>
            <w:tcW w:w="2357" w:type="dxa"/>
            <w:tcBorders/>
          </w:tcPr>
          <w:p>
            <w:pPr>
              <w:pStyle w:val="TableContents"/>
              <w:bidi w:val="0"/>
              <w:spacing w:before="0" w:after="0"/>
              <w:jc w:val="left"/>
              <w:rPr/>
            </w:pPr>
            <w:r>
              <w:rPr/>
              <w:t> </w:t>
            </w:r>
            <w:r>
              <w:rPr>
                <w:rFonts w:ascii="Times New Roman" w:hAnsi="Times New Roman"/>
                <w:sz w:val="20"/>
              </w:rPr>
              <w:t>Charles Watts, M.D.</w:t>
            </w:r>
          </w:p>
        </w:tc>
        <w:tc>
          <w:tcPr>
            <w:tcW w:w="77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center"/>
              <w:rPr/>
            </w:pPr>
            <w:r>
              <w:rPr/>
              <w:t>X</w:t>
            </w:r>
          </w:p>
        </w:tc>
        <w:tc>
          <w:tcPr>
            <w:tcW w:w="776" w:type="dxa"/>
            <w:tcBorders/>
            <w:vAlign w:val="bottom"/>
          </w:tcPr>
          <w:p>
            <w:pPr>
              <w:pStyle w:val="TableContents"/>
              <w:bidi w:val="0"/>
              <w:spacing w:before="0" w:after="283"/>
              <w:jc w:val="left"/>
              <w:rPr/>
            </w:pPr>
            <w:r>
              <w:rPr/>
              <w:t>  </w:t>
            </w:r>
          </w:p>
        </w:tc>
        <w:tc>
          <w:tcPr>
            <w:tcW w:w="2823" w:type="dxa"/>
            <w:tcBorders/>
            <w:vAlign w:val="bottom"/>
          </w:tcPr>
          <w:p>
            <w:pPr>
              <w:pStyle w:val="TableContents"/>
              <w:bidi w:val="0"/>
              <w:spacing w:before="0" w:after="283"/>
              <w:jc w:val="left"/>
              <w:rPr>
                <w:sz w:val="4"/>
                <w:szCs w:val="4"/>
              </w:rPr>
            </w:pPr>
            <w:r>
              <w:rPr>
                <w:sz w:val="4"/>
                <w:szCs w:val="4"/>
              </w:rPr>
            </w:r>
          </w:p>
        </w:tc>
      </w:tr>
      <w:tr>
        <w:trPr/>
        <w:tc>
          <w:tcPr>
            <w:tcW w:w="2357" w:type="dxa"/>
            <w:tcBorders/>
            <w:shd w:fill="F2F2F2" w:val="clear"/>
          </w:tcPr>
          <w:p>
            <w:pPr>
              <w:pStyle w:val="TableContents"/>
              <w:bidi w:val="0"/>
              <w:spacing w:before="0" w:after="0"/>
              <w:jc w:val="left"/>
              <w:rPr/>
            </w:pPr>
            <w:r>
              <w:rPr/>
              <w:t> </w:t>
            </w:r>
            <w:r>
              <w:rPr>
                <w:rFonts w:ascii="Times New Roman" w:hAnsi="Times New Roman"/>
                <w:sz w:val="20"/>
              </w:rPr>
              <w:t>Total meetings held in 2023</w:t>
            </w:r>
          </w:p>
        </w:tc>
        <w:tc>
          <w:tcPr>
            <w:tcW w:w="776" w:type="dxa"/>
            <w:tcBorders/>
            <w:shd w:fill="F2F2F2" w:val="clear"/>
            <w:vAlign w:val="bottom"/>
          </w:tcPr>
          <w:p>
            <w:pPr>
              <w:pStyle w:val="TableContents"/>
              <w:bidi w:val="0"/>
              <w:spacing w:before="0" w:after="283"/>
              <w:jc w:val="left"/>
              <w:rPr/>
            </w:pPr>
            <w:r>
              <w:rPr/>
              <w:t>  </w:t>
            </w:r>
          </w:p>
        </w:tc>
        <w:tc>
          <w:tcPr>
            <w:tcW w:w="1204" w:type="dxa"/>
            <w:tcBorders/>
            <w:shd w:fill="F2F2F2" w:val="clear"/>
            <w:vAlign w:val="bottom"/>
          </w:tcPr>
          <w:p>
            <w:pPr>
              <w:pStyle w:val="TableContents"/>
              <w:bidi w:val="0"/>
              <w:spacing w:before="0" w:after="283"/>
              <w:jc w:val="center"/>
              <w:rPr/>
            </w:pPr>
            <w:r>
              <w:rPr/>
              <w:t>4</w:t>
            </w:r>
          </w:p>
        </w:tc>
        <w:tc>
          <w:tcPr>
            <w:tcW w:w="776" w:type="dxa"/>
            <w:tcBorders/>
            <w:shd w:fill="F2F2F2" w:val="clear"/>
            <w:vAlign w:val="bottom"/>
          </w:tcPr>
          <w:p>
            <w:pPr>
              <w:pStyle w:val="TableContents"/>
              <w:bidi w:val="0"/>
              <w:spacing w:before="0" w:after="283"/>
              <w:jc w:val="left"/>
              <w:rPr/>
            </w:pPr>
            <w:r>
              <w:rPr/>
              <w:t>  </w:t>
            </w:r>
          </w:p>
        </w:tc>
        <w:tc>
          <w:tcPr>
            <w:tcW w:w="1493" w:type="dxa"/>
            <w:tcBorders/>
            <w:shd w:fill="F2F2F2" w:val="clear"/>
            <w:vAlign w:val="bottom"/>
          </w:tcPr>
          <w:p>
            <w:pPr>
              <w:pStyle w:val="TableContents"/>
              <w:bidi w:val="0"/>
              <w:spacing w:before="0" w:after="283"/>
              <w:jc w:val="center"/>
              <w:rPr/>
            </w:pPr>
            <w:r>
              <w:rPr/>
              <w:t>7</w:t>
            </w:r>
          </w:p>
        </w:tc>
        <w:tc>
          <w:tcPr>
            <w:tcW w:w="776" w:type="dxa"/>
            <w:tcBorders/>
            <w:shd w:fill="F2F2F2" w:val="clear"/>
            <w:vAlign w:val="bottom"/>
          </w:tcPr>
          <w:p>
            <w:pPr>
              <w:pStyle w:val="TableContents"/>
              <w:bidi w:val="0"/>
              <w:spacing w:before="0" w:after="283"/>
              <w:jc w:val="left"/>
              <w:rPr/>
            </w:pPr>
            <w:r>
              <w:rPr/>
              <w:t>  </w:t>
            </w:r>
          </w:p>
        </w:tc>
        <w:tc>
          <w:tcPr>
            <w:tcW w:w="2823" w:type="dxa"/>
            <w:tcBorders/>
            <w:shd w:fill="F2F2F2" w:val="clear"/>
            <w:vAlign w:val="bottom"/>
          </w:tcPr>
          <w:p>
            <w:pPr>
              <w:pStyle w:val="TableContents"/>
              <w:bidi w:val="0"/>
              <w:spacing w:before="0" w:after="283"/>
              <w:jc w:val="center"/>
              <w:rPr/>
            </w:pPr>
            <w:r>
              <w:rPr/>
              <w:t>4</w:t>
            </w:r>
          </w:p>
        </w:tc>
      </w:tr>
    </w:tbl>
    <w:p>
      <w:pPr>
        <w:pStyle w:val="TextBody"/>
        <w:bidi w:val="0"/>
        <w:spacing w:before="360" w:after="0"/>
        <w:jc w:val="left"/>
        <w:rPr>
          <w:rFonts w:ascii="Times New Roman" w:hAnsi="Times New Roman"/>
          <w:b/>
          <w:color w:val="305494"/>
          <w:sz w:val="20"/>
        </w:rPr>
      </w:pPr>
      <w:bookmarkStart w:id="14" w:name="toc674951_12"/>
      <w:bookmarkEnd w:id="14"/>
      <w:r>
        <w:rPr>
          <w:rFonts w:ascii="Times New Roman" w:hAnsi="Times New Roman"/>
          <w:b/>
          <w:color w:val="305494"/>
          <w:sz w:val="20"/>
        </w:rPr>
        <w:t xml:space="preserve">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consists of Ms. Franchi, Messrs. Kennedy and Massarany and Dr. Strobeck, each of whom our board of directors has determined satisfies the independence requirements under Nasdaq listing rules and Rule 10A-3(b)(1)(ii) of the Exchange Act. The chair of our audit committee is Ms. Franchi, whom our board of directors has determined is an audit committee financial expert within the meaning of the SEC regulations. Each member of our audit committee can read and understand fundamental financial statements in accordance with applicable listing standards. In arriving at these determinations, our board of directors has examined each audit committee members scope of experience and the nature of her or his employment in the corporate finance sector. The functions of this committee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helping our board of directors oversee our corporate accounting and financial reporting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our management the adequacy and effectiveness of our disclosure controls and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assisting with design and implementation of our risk assessment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qualifications, performance and independence of our independent registered public accounting firm and deciding whether to retain its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rotation of partners of our independent registered public accounting firm on our engagement team as required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the scope and results of the audit with the independent registered public accounting firm, and reviewing, with management and the independent accountants, our interim and year-end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procedures for employees to submit concerns anonymously about questionable accounting or audit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related-party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or as permitted, pre-approving, audit and permissible non-audit services to be performed by our independent registered public accounting firm; and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15</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at least annually, the performance of the audit committee and adequacy of its charter. </w:t>
            </w:r>
          </w:p>
        </w:tc>
      </w:tr>
    </w:tbl>
    <w:p>
      <w:pPr>
        <w:pStyle w:val="TextBody"/>
        <w:bidi w:val="0"/>
        <w:spacing w:before="360" w:after="0"/>
        <w:jc w:val="left"/>
        <w:rPr>
          <w:rFonts w:ascii="Times New Roman" w:hAnsi="Times New Roman"/>
          <w:b/>
          <w:color w:val="305494"/>
          <w:sz w:val="20"/>
        </w:rPr>
      </w:pPr>
      <w:bookmarkStart w:id="15" w:name="toc674951_13"/>
      <w:bookmarkEnd w:id="15"/>
      <w:r>
        <w:rPr>
          <w:rFonts w:ascii="Times New Roman" w:hAnsi="Times New Roman"/>
          <w:b/>
          <w:color w:val="305494"/>
          <w:sz w:val="20"/>
        </w:rPr>
        <w:t xml:space="preserve">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consists of Messrs. Massarany and Patience and Drs. Kayyem and Watts, and the chair of our compensation committee is Mr. Massarany. Our board of directors has determined that each of Messrs. Massarany and Patience and Drs. Kayyem and Watts is independent under the applicable Nasdaq listing rules and is a non-employee director as defined in Rule 16b-3 promulgated under the Exchange Act. The functions of this committee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modifying and overseeing overall compensation strategy and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compensation arrangements and other terms of employment of our chief executive officer, other executive officers and senior management, as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the full board of directors the compensation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appointing and overseeing the work of compensation consultants, legal counsel or any other advisors and consultants engaged for the purpose of advising the compensation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recommending to the full board of directors, as appropriate, and administering equity award plans, compensation plans and similar programs, as well as modification or termination of plans and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policies with respect to equity compensation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with the chief executive officer and the full board of directors the succession plans for our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at least annually, the performance of the compensation committee and the adequacy of its charter. </w:t>
            </w:r>
          </w:p>
        </w:tc>
      </w:tr>
    </w:tbl>
    <w:p>
      <w:pPr>
        <w:pStyle w:val="TextBody"/>
        <w:bidi w:val="0"/>
        <w:spacing w:before="240" w:after="0"/>
        <w:jc w:val="left"/>
        <w:rPr>
          <w:rFonts w:ascii="Times New Roman" w:hAnsi="Times New Roman"/>
          <w:b/>
          <w:color w:val="305494"/>
          <w:sz w:val="20"/>
        </w:rPr>
      </w:pPr>
      <w:bookmarkStart w:id="16" w:name="toc674951_14"/>
      <w:bookmarkEnd w:id="16"/>
      <w:r>
        <w:rPr>
          <w:rFonts w:ascii="Times New Roman" w:hAnsi="Times New Roman"/>
          <w:b/>
          <w:color w:val="305494"/>
          <w:sz w:val="20"/>
        </w:rPr>
        <w:t xml:space="preserve">Compensation Committee Interlocks and Insider Participation </w:t>
      </w:r>
    </w:p>
    <w:p>
      <w:pPr>
        <w:pStyle w:val="TextBody"/>
        <w:bidi w:val="0"/>
        <w:spacing w:before="240" w:after="0"/>
        <w:jc w:val="left"/>
        <w:rPr>
          <w:rFonts w:ascii="Times New Roman" w:hAnsi="Times New Roman"/>
          <w:sz w:val="20"/>
        </w:rPr>
      </w:pPr>
      <w:r>
        <w:rPr>
          <w:rFonts w:ascii="Times New Roman" w:hAnsi="Times New Roman"/>
          <w:sz w:val="20"/>
        </w:rPr>
        <w:t xml:space="preserve">None of the members of the compensation committee is currently, or has been at any time during 2023, one of our officers or employees. None of our executive officers currently serve, or has served during 2023, as a member of the board of directors or compensation committee of any entity that has one or more executive officers serving as a member of our board of directors or compensation committee. </w:t>
      </w:r>
    </w:p>
    <w:p>
      <w:pPr>
        <w:pStyle w:val="TextBody"/>
        <w:bidi w:val="0"/>
        <w:spacing w:before="240" w:after="0"/>
        <w:jc w:val="left"/>
        <w:rPr>
          <w:rFonts w:ascii="Times New Roman" w:hAnsi="Times New Roman"/>
          <w:b/>
          <w:color w:val="305494"/>
          <w:sz w:val="20"/>
        </w:rPr>
      </w:pPr>
      <w:bookmarkStart w:id="17" w:name="toc674951_15"/>
      <w:bookmarkEnd w:id="17"/>
      <w:r>
        <w:rPr>
          <w:rFonts w:ascii="Times New Roman" w:hAnsi="Times New Roman"/>
          <w:b/>
          <w:color w:val="305494"/>
          <w:sz w:val="20"/>
        </w:rPr>
        <w:t xml:space="preserve">Nominating and Corporate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Our nominating and corporate governance committee consists of Ms. Franchi, Dr. Strobeck and Mr. Schuler, and the chair of our nominating and corporate governance committee is Dr. Strobeck. Our board of directors has determined that Ms. Franchi, Dr. Strobeck and Mr. Schuler are independent under the applicable Nasdaq listing rules. The functions of this committee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periodically and evaluating director performance of our board of directors and its applicable committees, and recommending to our board of directors and management areas for improvement;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evaluating, nominating and recommending individuals for membership on our board of directors;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16</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our chief executive officer the plans for succession to the offices of our executive officers and make recommendations to our board of directors with respect to the selection of appropriate individuals to succeed to these 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our board of directors any amendments to our corporate governance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our cybersecurity risk profile, receiving periodic updates from management on all matters related to cybersecurity, and reporting to our full Board of Directors on an annual or as necessary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at least annually, the performance of the nominating and corporate governance committee and the adequacy of its charter. </w:t>
            </w:r>
          </w:p>
        </w:tc>
      </w:tr>
    </w:tbl>
    <w:p>
      <w:pPr>
        <w:pStyle w:val="TextBody"/>
        <w:bidi w:val="0"/>
        <w:spacing w:before="240" w:after="0"/>
        <w:jc w:val="left"/>
        <w:rPr>
          <w:rFonts w:ascii="Times New Roman" w:hAnsi="Times New Roman"/>
          <w:color w:val="305494"/>
          <w:sz w:val="28"/>
        </w:rPr>
      </w:pPr>
      <w:bookmarkStart w:id="18" w:name="toc674951_16"/>
      <w:bookmarkEnd w:id="18"/>
      <w:r>
        <w:rPr>
          <w:rFonts w:ascii="Times New Roman" w:hAnsi="Times New Roman"/>
          <w:color w:val="305494"/>
          <w:sz w:val="28"/>
        </w:rPr>
        <w:t xml:space="preserve">Director Nomination Process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Selection and Nomination Process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responsible for nominating members for election to our board of directors by our stockholders at our annual meetings of stockholders. Whenever a vacancy occurs on our board of directors, whether due to a newly created director position or the death, resignation, removal or retirement of an existing director, our board of directors is authorized to select a person to fill the vacancy to serve as a director until the annual meeting of stockholders at which the directors term expires and until the election and qualification of his or her successor or, if sooner, his or her death, resignation or removal. Any increase or decrease in the number of directors will be distributed among the three classes so that, as nearly as possible, each class will consist of one-third of the directors.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Criteria for Board Membership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and the nominating and corporate governance committee will determine the appropriate characteristics, skills and experience for the board of directors as a whole and for its individual members. The board of directors and the nominating and corporate governance committee will consider the minimum general criteria set forth below, and may add any specific additional criteria with respect to specific searches, in selecting candidates and existing directors for service on the board of directors. An acceptable candidate may not fully satisfy all of the criteria, but is expected to satisfy nearly all of them. While the nominating and corporate governance committee does not have a formal policy in this regard, the diversity of the board of the directors is a consideration in evaluating candidates for director positions, among others.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and the nominating and corporate governance committee believe that candidates for director should have certain minimum qualifications, including being able to read and understand basic financial statements, being over 21 years of age and having the highest personal integrity and ethics. In considering candidates, the board of directors and the nominating and corporate governance committee intend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and the nominating and corporate governance committee review candidates for director nomination in the context of the current composition of the board of directors, the operating requirements of the Company and the long-term interests of our stockholders. In conducting this assessment, the board of directors and the nominating and corporate governance committee consider diversity, age, skills, and such other factors as it deems appropriate given the current needs of the board of directors and the Company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17</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maintain a balance of knowledge, experience and capability. In the case of incumbent directors whose terms of office are set to expire, the board of directors and the nominating and corporate governance committee review such directors overall service to the Company during their term, including the number of meetings attended, level of participation, quality of performance, and any other relationships and transactions that might impair such directors independence. In the case of new director candidates, the board of directors and the nominating and corporate governance committee also determine whether the nominee must be independent for purposes of any stock exchange on which any of the Companys capital stock is listed.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Stockholder Recommendations and Nominations </w:t>
      </w:r>
    </w:p>
    <w:p>
      <w:pPr>
        <w:pStyle w:val="TextBody"/>
        <w:bidi w:val="0"/>
        <w:spacing w:before="240" w:after="0"/>
        <w:jc w:val="left"/>
        <w:rPr>
          <w:rFonts w:ascii="Times New Roman" w:hAnsi="Times New Roman"/>
          <w:sz w:val="20"/>
        </w:rPr>
      </w:pPr>
      <w:r>
        <w:rPr>
          <w:rFonts w:ascii="Times New Roman" w:hAnsi="Times New Roman"/>
          <w:sz w:val="20"/>
        </w:rPr>
        <w:t xml:space="preserve">Stockholders who wish to recommend candidates may contact the nominating and corporate governance committee in the manner described below under Board and Corporate Governance MattersStockholder Communications with our Board of Directors. Stockholder nominations must be made according to the procedures required under our bylaws and described in this proxy statement under the heading Additional InformationStockholder Proposals and Nominations for Next Years Annual Meeting of Stockholders. Stockholder-recommended candidates and stockholder nominees whose nominations comply with these procedures will be evaluated by our nominating and corporate governance committee in the same manner as other nominees. </w:t>
      </w:r>
    </w:p>
    <w:p>
      <w:pPr>
        <w:pStyle w:val="TextBody"/>
        <w:bidi w:val="0"/>
        <w:spacing w:before="240" w:after="0"/>
        <w:jc w:val="left"/>
        <w:rPr>
          <w:rFonts w:ascii="Times New Roman" w:hAnsi="Times New Roman"/>
          <w:color w:val="305494"/>
          <w:sz w:val="28"/>
        </w:rPr>
      </w:pPr>
      <w:bookmarkStart w:id="19" w:name="toc674951_17"/>
      <w:bookmarkEnd w:id="19"/>
      <w:r>
        <w:rPr>
          <w:rFonts w:ascii="Times New Roman" w:hAnsi="Times New Roman"/>
          <w:color w:val="305494"/>
          <w:sz w:val="28"/>
        </w:rPr>
        <w:t xml:space="preserve">Board Diversity Matrix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provides certain highlights of the composition of our board of directors members and nominees as of March 25, 2024. Nasdaq listing requirements require each listed company to have, or explain why it does not have, two diverse directors on the board, including at least one diverse director who self-identifies as female and at least one diverse director who self-identifies as an underrepresented minority or LGBTQ+, or for smaller reporting companies, two female directors. Companies listed on the Nasdaq Global Market must have at least one diverse director by December 31, 2023 and two diverse directors by December 31, 2025. As of March 25, 2024, our board of directors has one diverse director, and we intend to be fully compliant with Nasdaqs diversity requirement by December 31, 2025. Each of the categories listed in the below table has the meaning as it is used in Nasdaq Listing Rule 5605(f). To see our Board Diversity Matrix as of March 24, 2023, please see our proxy statement filed with the SEC on April 12,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8"/>
        <w:gridCol w:w="624"/>
        <w:gridCol w:w="650"/>
        <w:gridCol w:w="624"/>
        <w:gridCol w:w="455"/>
        <w:gridCol w:w="624"/>
        <w:gridCol w:w="1025"/>
        <w:gridCol w:w="624"/>
        <w:gridCol w:w="2091"/>
      </w:tblGrid>
      <w:tr>
        <w:trPr/>
        <w:tc>
          <w:tcPr>
            <w:tcW w:w="3488" w:type="dxa"/>
            <w:tcBorders/>
            <w:vAlign w:val="center"/>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5C9ACF" w:val="clear"/>
            <w:vAlign w:val="bottom"/>
          </w:tcPr>
          <w:p>
            <w:pPr>
              <w:pStyle w:val="TableContents"/>
              <w:bidi w:val="0"/>
              <w:spacing w:before="0" w:after="0"/>
              <w:jc w:val="left"/>
              <w:rPr/>
            </w:pPr>
            <w:r>
              <w:rPr/>
              <w:t> </w:t>
            </w:r>
          </w:p>
          <w:p>
            <w:pPr>
              <w:pStyle w:val="TableContents"/>
              <w:bidi w:val="0"/>
              <w:spacing w:before="0" w:after="0"/>
              <w:jc w:val="center"/>
              <w:rPr>
                <w:rFonts w:ascii="Times New Roman" w:hAnsi="Times New Roman"/>
                <w:b/>
                <w:color w:val="FFFFFF"/>
                <w:sz w:val="20"/>
              </w:rPr>
            </w:pPr>
            <w:r>
              <w:rPr>
                <w:rFonts w:ascii="Times New Roman" w:hAnsi="Times New Roman"/>
                <w:b/>
                <w:color w:val="FFFFFF"/>
                <w:sz w:val="20"/>
              </w:rPr>
              <w:t>Board Diversity Matrix as of March 25, 2024</w:t>
            </w:r>
          </w:p>
          <w:p>
            <w:pPr>
              <w:pStyle w:val="TableContents"/>
              <w:bidi w:val="0"/>
              <w:spacing w:before="0" w:after="20"/>
              <w:jc w:val="left"/>
              <w:rPr/>
            </w:pPr>
            <w:r>
              <w:rPr/>
              <w:t> </w:t>
            </w:r>
          </w:p>
        </w:tc>
      </w:tr>
      <w:tr>
        <w:trPr/>
        <w:tc>
          <w:tcPr>
            <w:tcW w:w="3488" w:type="dxa"/>
            <w:tcBorders/>
            <w:shd w:fill="F2F2F2" w:val="clear"/>
            <w:vAlign w:val="bottom"/>
          </w:tcPr>
          <w:p>
            <w:pPr>
              <w:pStyle w:val="TableContents"/>
              <w:bidi w:val="0"/>
              <w:spacing w:before="0" w:after="0"/>
              <w:jc w:val="left"/>
              <w:rPr/>
            </w:pPr>
            <w:r>
              <w:rPr/>
              <w:t> </w:t>
            </w:r>
            <w:r>
              <w:rPr>
                <w:rFonts w:ascii="Times New Roman" w:hAnsi="Times New Roman"/>
                <w:i/>
                <w:sz w:val="20"/>
              </w:rPr>
              <w:t>Total Number of Directors</w:t>
            </w:r>
          </w:p>
        </w:tc>
        <w:tc>
          <w:tcPr>
            <w:tcW w:w="624" w:type="dxa"/>
            <w:tcBorders/>
            <w:shd w:fill="F2F2F2" w:val="clear"/>
            <w:vAlign w:val="bottom"/>
          </w:tcPr>
          <w:p>
            <w:pPr>
              <w:pStyle w:val="TableContents"/>
              <w:bidi w:val="0"/>
              <w:spacing w:before="0" w:after="283"/>
              <w:jc w:val="left"/>
              <w:rPr/>
            </w:pPr>
            <w:r>
              <w:rPr/>
              <w:t>  </w:t>
            </w:r>
          </w:p>
        </w:tc>
        <w:tc>
          <w:tcPr>
            <w:tcW w:w="6093" w:type="dxa"/>
            <w:gridSpan w:val="7"/>
            <w:tcBorders/>
            <w:shd w:fill="F2F2F2" w:val="clear"/>
            <w:vAlign w:val="bottom"/>
          </w:tcPr>
          <w:p>
            <w:pPr>
              <w:pStyle w:val="TableContents"/>
              <w:bidi w:val="0"/>
              <w:spacing w:before="0" w:after="283"/>
              <w:jc w:val="left"/>
              <w:rPr>
                <w:sz w:val="4"/>
                <w:szCs w:val="4"/>
              </w:rPr>
            </w:pPr>
            <w:r>
              <w:rPr>
                <w:sz w:val="4"/>
                <w:szCs w:val="4"/>
              </w:rPr>
            </w:r>
          </w:p>
        </w:tc>
      </w:tr>
      <w:tr>
        <w:trPr/>
        <w:tc>
          <w:tcPr>
            <w:tcW w:w="3488" w:type="dxa"/>
            <w:tcBorders/>
            <w:shd w:fill="5C9ACF" w:val="clear"/>
            <w:vAlign w:val="bottom"/>
          </w:tcPr>
          <w:p>
            <w:pPr>
              <w:pStyle w:val="TableContents"/>
              <w:bidi w:val="0"/>
              <w:spacing w:before="0" w:after="283"/>
              <w:jc w:val="left"/>
              <w:rPr/>
            </w:pPr>
            <w:r>
              <w:rPr/>
              <w:t> </w:t>
            </w:r>
          </w:p>
        </w:tc>
        <w:tc>
          <w:tcPr>
            <w:tcW w:w="624" w:type="dxa"/>
            <w:tcBorders/>
            <w:shd w:fill="5C9ACF" w:val="clear"/>
            <w:vAlign w:val="bottom"/>
          </w:tcPr>
          <w:p>
            <w:pPr>
              <w:pStyle w:val="TableContents"/>
              <w:bidi w:val="0"/>
              <w:spacing w:before="0" w:after="283"/>
              <w:jc w:val="left"/>
              <w:rPr/>
            </w:pPr>
            <w:r>
              <w:rPr/>
              <w:t>  </w:t>
            </w:r>
          </w:p>
        </w:tc>
        <w:tc>
          <w:tcPr>
            <w:tcW w:w="650" w:type="dxa"/>
            <w:tcBorders/>
            <w:shd w:fill="5C9ACF" w:val="clear"/>
            <w:vAlign w:val="bottom"/>
          </w:tcPr>
          <w:p>
            <w:pPr>
              <w:pStyle w:val="TableContents"/>
              <w:bidi w:val="0"/>
              <w:spacing w:before="0" w:after="0"/>
              <w:jc w:val="center"/>
              <w:rPr>
                <w:rFonts w:ascii="Times New Roman" w:hAnsi="Times New Roman"/>
                <w:b/>
                <w:color w:val="FFFFFF"/>
                <w:sz w:val="20"/>
              </w:rPr>
            </w:pPr>
            <w:r>
              <w:rPr>
                <w:rFonts w:ascii="Times New Roman" w:hAnsi="Times New Roman"/>
                <w:b/>
                <w:color w:val="FFFFFF"/>
                <w:sz w:val="20"/>
              </w:rPr>
              <w:t>Female</w:t>
            </w:r>
          </w:p>
          <w:p>
            <w:pPr>
              <w:pStyle w:val="TableContents"/>
              <w:bidi w:val="0"/>
              <w:spacing w:before="0" w:after="20"/>
              <w:jc w:val="left"/>
              <w:rPr/>
            </w:pPr>
            <w:r>
              <w:rPr/>
              <w:t> </w:t>
            </w:r>
          </w:p>
        </w:tc>
        <w:tc>
          <w:tcPr>
            <w:tcW w:w="624" w:type="dxa"/>
            <w:tcBorders/>
            <w:shd w:fill="5C9ACF" w:val="clear"/>
            <w:vAlign w:val="bottom"/>
          </w:tcPr>
          <w:p>
            <w:pPr>
              <w:pStyle w:val="TableContents"/>
              <w:bidi w:val="0"/>
              <w:spacing w:before="0" w:after="283"/>
              <w:jc w:val="left"/>
              <w:rPr/>
            </w:pPr>
            <w:r>
              <w:rPr/>
              <w:t>  </w:t>
            </w:r>
          </w:p>
        </w:tc>
        <w:tc>
          <w:tcPr>
            <w:tcW w:w="455" w:type="dxa"/>
            <w:tcBorders/>
            <w:shd w:fill="5C9ACF" w:val="clear"/>
            <w:vAlign w:val="bottom"/>
          </w:tcPr>
          <w:p>
            <w:pPr>
              <w:pStyle w:val="TableContents"/>
              <w:bidi w:val="0"/>
              <w:spacing w:before="0" w:after="0"/>
              <w:jc w:val="center"/>
              <w:rPr>
                <w:rFonts w:ascii="Times New Roman" w:hAnsi="Times New Roman"/>
                <w:b/>
                <w:color w:val="FFFFFF"/>
                <w:sz w:val="20"/>
              </w:rPr>
            </w:pPr>
            <w:r>
              <w:rPr>
                <w:rFonts w:ascii="Times New Roman" w:hAnsi="Times New Roman"/>
                <w:b/>
                <w:color w:val="FFFFFF"/>
                <w:sz w:val="20"/>
              </w:rPr>
              <w:t>Male</w:t>
            </w:r>
          </w:p>
          <w:p>
            <w:pPr>
              <w:pStyle w:val="TableContents"/>
              <w:bidi w:val="0"/>
              <w:spacing w:before="0" w:after="20"/>
              <w:jc w:val="left"/>
              <w:rPr/>
            </w:pPr>
            <w:r>
              <w:rPr/>
              <w:t> </w:t>
            </w:r>
          </w:p>
        </w:tc>
        <w:tc>
          <w:tcPr>
            <w:tcW w:w="624" w:type="dxa"/>
            <w:tcBorders/>
            <w:shd w:fill="5C9ACF" w:val="clear"/>
            <w:vAlign w:val="bottom"/>
          </w:tcPr>
          <w:p>
            <w:pPr>
              <w:pStyle w:val="TableContents"/>
              <w:bidi w:val="0"/>
              <w:spacing w:before="0" w:after="283"/>
              <w:jc w:val="left"/>
              <w:rPr/>
            </w:pPr>
            <w:r>
              <w:rPr/>
              <w:t>  </w:t>
            </w:r>
          </w:p>
        </w:tc>
        <w:tc>
          <w:tcPr>
            <w:tcW w:w="1025" w:type="dxa"/>
            <w:tcBorders/>
            <w:shd w:fill="5C9ACF" w:val="clear"/>
            <w:vAlign w:val="bottom"/>
          </w:tcPr>
          <w:p>
            <w:pPr>
              <w:pStyle w:val="TableContents"/>
              <w:bidi w:val="0"/>
              <w:spacing w:before="0" w:after="0"/>
              <w:jc w:val="center"/>
              <w:rPr>
                <w:rFonts w:ascii="Times New Roman" w:hAnsi="Times New Roman"/>
                <w:b/>
                <w:color w:val="FFFFFF"/>
                <w:sz w:val="20"/>
              </w:rPr>
            </w:pPr>
            <w:r>
              <w:rPr>
                <w:rFonts w:ascii="Times New Roman" w:hAnsi="Times New Roman"/>
                <w:b/>
                <w:color w:val="FFFFFF"/>
                <w:sz w:val="20"/>
              </w:rPr>
              <w:t>Non-Binary</w:t>
            </w:r>
          </w:p>
          <w:p>
            <w:pPr>
              <w:pStyle w:val="TableContents"/>
              <w:bidi w:val="0"/>
              <w:spacing w:before="0" w:after="20"/>
              <w:jc w:val="left"/>
              <w:rPr/>
            </w:pPr>
            <w:r>
              <w:rPr/>
              <w:t> </w:t>
            </w:r>
          </w:p>
        </w:tc>
        <w:tc>
          <w:tcPr>
            <w:tcW w:w="624" w:type="dxa"/>
            <w:tcBorders/>
            <w:shd w:fill="5C9ACF" w:val="clear"/>
            <w:vAlign w:val="bottom"/>
          </w:tcPr>
          <w:p>
            <w:pPr>
              <w:pStyle w:val="TableContents"/>
              <w:bidi w:val="0"/>
              <w:spacing w:before="0" w:after="283"/>
              <w:jc w:val="left"/>
              <w:rPr/>
            </w:pPr>
            <w:r>
              <w:rPr/>
              <w:t>  </w:t>
            </w:r>
          </w:p>
        </w:tc>
        <w:tc>
          <w:tcPr>
            <w:tcW w:w="2091" w:type="dxa"/>
            <w:tcBorders/>
            <w:shd w:fill="5C9ACF" w:val="clear"/>
            <w:vAlign w:val="bottom"/>
          </w:tcPr>
          <w:p>
            <w:pPr>
              <w:pStyle w:val="TableContents"/>
              <w:bidi w:val="0"/>
              <w:spacing w:before="0" w:after="0"/>
              <w:jc w:val="left"/>
              <w:rPr/>
            </w:pPr>
            <w:r>
              <w:rPr/>
              <w:t> </w:t>
            </w:r>
          </w:p>
          <w:p>
            <w:pPr>
              <w:pStyle w:val="TableContents"/>
              <w:bidi w:val="0"/>
              <w:spacing w:before="0" w:after="0"/>
              <w:jc w:val="center"/>
              <w:rPr>
                <w:rFonts w:ascii="Times New Roman" w:hAnsi="Times New Roman"/>
                <w:b/>
                <w:color w:val="FFFFFF"/>
                <w:sz w:val="20"/>
              </w:rPr>
            </w:pPr>
            <w:r>
              <w:rPr>
                <w:rFonts w:ascii="Times New Roman" w:hAnsi="Times New Roman"/>
                <w:b/>
                <w:color w:val="FFFFFF"/>
                <w:sz w:val="20"/>
              </w:rPr>
              <w:t>Did Not Disclose Gender</w:t>
            </w:r>
          </w:p>
          <w:p>
            <w:pPr>
              <w:pStyle w:val="TableContents"/>
              <w:bidi w:val="0"/>
              <w:spacing w:before="0" w:after="20"/>
              <w:jc w:val="left"/>
              <w:rPr/>
            </w:pPr>
            <w:r>
              <w:rPr/>
              <w:t> </w:t>
            </w:r>
          </w:p>
        </w:tc>
      </w:tr>
      <w:tr>
        <w:trPr/>
        <w:tc>
          <w:tcPr>
            <w:tcW w:w="3488" w:type="dxa"/>
            <w:tcBorders/>
            <w:shd w:fill="F2F2F2" w:val="clear"/>
            <w:vAlign w:val="bottom"/>
          </w:tcPr>
          <w:p>
            <w:pPr>
              <w:pStyle w:val="TableContents"/>
              <w:bidi w:val="0"/>
              <w:spacing w:before="0" w:after="0"/>
              <w:jc w:val="left"/>
              <w:rPr/>
            </w:pPr>
            <w:r>
              <w:rPr/>
              <w:t> </w:t>
            </w:r>
            <w:r>
              <w:rPr>
                <w:rFonts w:ascii="Times New Roman" w:hAnsi="Times New Roman"/>
                <w:i/>
                <w:sz w:val="20"/>
              </w:rPr>
              <w:t>Part I: Gender Identity</w:t>
            </w:r>
          </w:p>
        </w:tc>
        <w:tc>
          <w:tcPr>
            <w:tcW w:w="624" w:type="dxa"/>
            <w:tcBorders/>
            <w:shd w:fill="F2F2F2" w:val="clear"/>
            <w:vAlign w:val="bottom"/>
          </w:tcPr>
          <w:p>
            <w:pPr>
              <w:pStyle w:val="TableContents"/>
              <w:bidi w:val="0"/>
              <w:spacing w:before="0" w:after="283"/>
              <w:jc w:val="left"/>
              <w:rPr/>
            </w:pPr>
            <w:r>
              <w:rPr/>
              <w:t>  </w:t>
            </w:r>
          </w:p>
        </w:tc>
        <w:tc>
          <w:tcPr>
            <w:tcW w:w="650" w:type="dxa"/>
            <w:tcBorders/>
            <w:shd w:fill="F2F2F2" w:val="clear"/>
            <w:vAlign w:val="bottom"/>
          </w:tcPr>
          <w:p>
            <w:pPr>
              <w:pStyle w:val="TableContents"/>
              <w:bidi w:val="0"/>
              <w:spacing w:before="0" w:after="283"/>
              <w:jc w:val="left"/>
              <w:rPr>
                <w:sz w:val="4"/>
                <w:szCs w:val="4"/>
              </w:rPr>
            </w:pPr>
            <w:r>
              <w:rPr>
                <w:sz w:val="4"/>
                <w:szCs w:val="4"/>
              </w:rPr>
            </w:r>
          </w:p>
        </w:tc>
        <w:tc>
          <w:tcPr>
            <w:tcW w:w="624" w:type="dxa"/>
            <w:tcBorders/>
            <w:shd w:fill="F2F2F2" w:val="clear"/>
            <w:vAlign w:val="bottom"/>
          </w:tcPr>
          <w:p>
            <w:pPr>
              <w:pStyle w:val="TableContents"/>
              <w:bidi w:val="0"/>
              <w:spacing w:before="0" w:after="283"/>
              <w:jc w:val="left"/>
              <w:rPr/>
            </w:pPr>
            <w:r>
              <w:rPr/>
              <w:t>  </w:t>
            </w:r>
          </w:p>
        </w:tc>
        <w:tc>
          <w:tcPr>
            <w:tcW w:w="455" w:type="dxa"/>
            <w:tcBorders/>
            <w:shd w:fill="F2F2F2" w:val="clear"/>
            <w:vAlign w:val="bottom"/>
          </w:tcPr>
          <w:p>
            <w:pPr>
              <w:pStyle w:val="TableContents"/>
              <w:bidi w:val="0"/>
              <w:spacing w:before="0" w:after="283"/>
              <w:jc w:val="left"/>
              <w:rPr>
                <w:sz w:val="4"/>
                <w:szCs w:val="4"/>
              </w:rPr>
            </w:pPr>
            <w:r>
              <w:rPr>
                <w:sz w:val="4"/>
                <w:szCs w:val="4"/>
              </w:rPr>
            </w:r>
          </w:p>
        </w:tc>
        <w:tc>
          <w:tcPr>
            <w:tcW w:w="624" w:type="dxa"/>
            <w:tcBorders/>
            <w:shd w:fill="F2F2F2" w:val="clear"/>
            <w:vAlign w:val="bottom"/>
          </w:tcPr>
          <w:p>
            <w:pPr>
              <w:pStyle w:val="TableContents"/>
              <w:bidi w:val="0"/>
              <w:spacing w:before="0" w:after="283"/>
              <w:jc w:val="left"/>
              <w:rPr/>
            </w:pPr>
            <w:r>
              <w:rPr/>
              <w:t>  </w:t>
            </w:r>
          </w:p>
        </w:tc>
        <w:tc>
          <w:tcPr>
            <w:tcW w:w="1025" w:type="dxa"/>
            <w:tcBorders/>
            <w:shd w:fill="F2F2F2" w:val="clear"/>
            <w:vAlign w:val="bottom"/>
          </w:tcPr>
          <w:p>
            <w:pPr>
              <w:pStyle w:val="TableContents"/>
              <w:bidi w:val="0"/>
              <w:spacing w:before="0" w:after="283"/>
              <w:jc w:val="left"/>
              <w:rPr>
                <w:sz w:val="4"/>
                <w:szCs w:val="4"/>
              </w:rPr>
            </w:pPr>
            <w:r>
              <w:rPr>
                <w:sz w:val="4"/>
                <w:szCs w:val="4"/>
              </w:rPr>
            </w:r>
          </w:p>
        </w:tc>
        <w:tc>
          <w:tcPr>
            <w:tcW w:w="624" w:type="dxa"/>
            <w:tcBorders/>
            <w:shd w:fill="F2F2F2" w:val="clear"/>
            <w:vAlign w:val="bottom"/>
          </w:tcPr>
          <w:p>
            <w:pPr>
              <w:pStyle w:val="TableContents"/>
              <w:bidi w:val="0"/>
              <w:spacing w:before="0" w:after="283"/>
              <w:jc w:val="left"/>
              <w:rPr/>
            </w:pPr>
            <w:r>
              <w:rPr/>
              <w:t>  </w:t>
            </w:r>
          </w:p>
        </w:tc>
        <w:tc>
          <w:tcPr>
            <w:tcW w:w="2091" w:type="dxa"/>
            <w:tcBorders/>
            <w:shd w:fill="F2F2F2" w:val="clear"/>
            <w:vAlign w:val="bottom"/>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0"/>
              <w:jc w:val="left"/>
              <w:rPr/>
            </w:pPr>
            <w:r>
              <w:rPr/>
              <w:t>  </w:t>
            </w:r>
            <w:r>
              <w:rPr>
                <w:rFonts w:ascii="Times New Roman" w:hAnsi="Times New Roman"/>
                <w:sz w:val="20"/>
              </w:rPr>
              <w:t>Directors</w:t>
            </w:r>
          </w:p>
        </w:tc>
        <w:tc>
          <w:tcPr>
            <w:tcW w:w="624"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1</w:t>
            </w:r>
          </w:p>
        </w:tc>
        <w:tc>
          <w:tcPr>
            <w:tcW w:w="624"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center"/>
              <w:rPr/>
            </w:pPr>
            <w:r>
              <w:rPr/>
              <w:t>8</w:t>
            </w:r>
          </w:p>
        </w:tc>
        <w:tc>
          <w:tcPr>
            <w:tcW w:w="624"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center"/>
              <w:rPr/>
            </w:pPr>
            <w:r>
              <w:rPr/>
              <w:t>-</w:t>
            </w:r>
          </w:p>
        </w:tc>
        <w:tc>
          <w:tcPr>
            <w:tcW w:w="624" w:type="dxa"/>
            <w:tcBorders/>
            <w:vAlign w:val="bottom"/>
          </w:tcPr>
          <w:p>
            <w:pPr>
              <w:pStyle w:val="TableContents"/>
              <w:bidi w:val="0"/>
              <w:spacing w:before="0" w:after="283"/>
              <w:jc w:val="left"/>
              <w:rPr/>
            </w:pPr>
            <w:r>
              <w:rPr/>
              <w:t>  </w:t>
            </w:r>
          </w:p>
        </w:tc>
        <w:tc>
          <w:tcPr>
            <w:tcW w:w="2091" w:type="dxa"/>
            <w:tcBorders/>
            <w:vAlign w:val="bottom"/>
          </w:tcPr>
          <w:p>
            <w:pPr>
              <w:pStyle w:val="TableContents"/>
              <w:bidi w:val="0"/>
              <w:spacing w:before="0" w:after="283"/>
              <w:jc w:val="center"/>
              <w:rPr/>
            </w:pPr>
            <w:r>
              <w:rPr/>
              <w:t>-</w:t>
            </w:r>
          </w:p>
        </w:tc>
      </w:tr>
      <w:tr>
        <w:trPr/>
        <w:tc>
          <w:tcPr>
            <w:tcW w:w="3488" w:type="dxa"/>
            <w:tcBorders/>
            <w:shd w:fill="F2F2F2" w:val="clear"/>
          </w:tcPr>
          <w:p>
            <w:pPr>
              <w:pStyle w:val="TableContents"/>
              <w:bidi w:val="0"/>
              <w:spacing w:before="0" w:after="0"/>
              <w:jc w:val="left"/>
              <w:rPr/>
            </w:pPr>
            <w:r>
              <w:rPr/>
              <w:t> </w:t>
            </w:r>
            <w:r>
              <w:rPr>
                <w:rFonts w:ascii="Times New Roman" w:hAnsi="Times New Roman"/>
                <w:i/>
                <w:sz w:val="20"/>
              </w:rPr>
              <w:t>Part II: Demographic Background</w:t>
            </w:r>
          </w:p>
        </w:tc>
        <w:tc>
          <w:tcPr>
            <w:tcW w:w="624" w:type="dxa"/>
            <w:tcBorders/>
            <w:shd w:fill="F2F2F2" w:val="clear"/>
            <w:vAlign w:val="bottom"/>
          </w:tcPr>
          <w:p>
            <w:pPr>
              <w:pStyle w:val="TableContents"/>
              <w:bidi w:val="0"/>
              <w:spacing w:before="0" w:after="283"/>
              <w:jc w:val="left"/>
              <w:rPr/>
            </w:pPr>
            <w:r>
              <w:rPr/>
              <w:t>  </w:t>
            </w:r>
          </w:p>
        </w:tc>
        <w:tc>
          <w:tcPr>
            <w:tcW w:w="650" w:type="dxa"/>
            <w:tcBorders/>
            <w:shd w:fill="F2F2F2" w:val="clear"/>
            <w:vAlign w:val="bottom"/>
          </w:tcPr>
          <w:p>
            <w:pPr>
              <w:pStyle w:val="TableContents"/>
              <w:bidi w:val="0"/>
              <w:spacing w:before="0" w:after="283"/>
              <w:jc w:val="left"/>
              <w:rPr>
                <w:sz w:val="4"/>
                <w:szCs w:val="4"/>
              </w:rPr>
            </w:pPr>
            <w:r>
              <w:rPr>
                <w:sz w:val="4"/>
                <w:szCs w:val="4"/>
              </w:rPr>
            </w:r>
          </w:p>
        </w:tc>
        <w:tc>
          <w:tcPr>
            <w:tcW w:w="624" w:type="dxa"/>
            <w:tcBorders/>
            <w:shd w:fill="F2F2F2" w:val="clear"/>
            <w:vAlign w:val="bottom"/>
          </w:tcPr>
          <w:p>
            <w:pPr>
              <w:pStyle w:val="TableContents"/>
              <w:bidi w:val="0"/>
              <w:spacing w:before="0" w:after="283"/>
              <w:jc w:val="left"/>
              <w:rPr/>
            </w:pPr>
            <w:r>
              <w:rPr/>
              <w:t>  </w:t>
            </w:r>
          </w:p>
        </w:tc>
        <w:tc>
          <w:tcPr>
            <w:tcW w:w="455" w:type="dxa"/>
            <w:tcBorders/>
            <w:shd w:fill="F2F2F2" w:val="clear"/>
            <w:vAlign w:val="bottom"/>
          </w:tcPr>
          <w:p>
            <w:pPr>
              <w:pStyle w:val="TableContents"/>
              <w:bidi w:val="0"/>
              <w:spacing w:before="0" w:after="283"/>
              <w:jc w:val="left"/>
              <w:rPr>
                <w:sz w:val="4"/>
                <w:szCs w:val="4"/>
              </w:rPr>
            </w:pPr>
            <w:r>
              <w:rPr>
                <w:sz w:val="4"/>
                <w:szCs w:val="4"/>
              </w:rPr>
            </w:r>
          </w:p>
        </w:tc>
        <w:tc>
          <w:tcPr>
            <w:tcW w:w="624" w:type="dxa"/>
            <w:tcBorders/>
            <w:shd w:fill="F2F2F2" w:val="clear"/>
            <w:vAlign w:val="bottom"/>
          </w:tcPr>
          <w:p>
            <w:pPr>
              <w:pStyle w:val="TableContents"/>
              <w:bidi w:val="0"/>
              <w:spacing w:before="0" w:after="283"/>
              <w:jc w:val="left"/>
              <w:rPr/>
            </w:pPr>
            <w:r>
              <w:rPr/>
              <w:t>  </w:t>
            </w:r>
          </w:p>
        </w:tc>
        <w:tc>
          <w:tcPr>
            <w:tcW w:w="1025" w:type="dxa"/>
            <w:tcBorders/>
            <w:shd w:fill="F2F2F2" w:val="clear"/>
            <w:vAlign w:val="bottom"/>
          </w:tcPr>
          <w:p>
            <w:pPr>
              <w:pStyle w:val="TableContents"/>
              <w:bidi w:val="0"/>
              <w:spacing w:before="0" w:after="283"/>
              <w:jc w:val="left"/>
              <w:rPr>
                <w:sz w:val="4"/>
                <w:szCs w:val="4"/>
              </w:rPr>
            </w:pPr>
            <w:r>
              <w:rPr>
                <w:sz w:val="4"/>
                <w:szCs w:val="4"/>
              </w:rPr>
            </w:r>
          </w:p>
        </w:tc>
        <w:tc>
          <w:tcPr>
            <w:tcW w:w="624" w:type="dxa"/>
            <w:tcBorders/>
            <w:shd w:fill="F2F2F2" w:val="clear"/>
            <w:vAlign w:val="bottom"/>
          </w:tcPr>
          <w:p>
            <w:pPr>
              <w:pStyle w:val="TableContents"/>
              <w:bidi w:val="0"/>
              <w:spacing w:before="0" w:after="283"/>
              <w:jc w:val="left"/>
              <w:rPr/>
            </w:pPr>
            <w:r>
              <w:rPr/>
              <w:t>  </w:t>
            </w:r>
          </w:p>
        </w:tc>
        <w:tc>
          <w:tcPr>
            <w:tcW w:w="2091" w:type="dxa"/>
            <w:tcBorders/>
            <w:shd w:fill="F2F2F2" w:val="clear"/>
            <w:vAlign w:val="bottom"/>
          </w:tcPr>
          <w:p>
            <w:pPr>
              <w:pStyle w:val="TableContents"/>
              <w:bidi w:val="0"/>
              <w:spacing w:before="0" w:after="283"/>
              <w:jc w:val="left"/>
              <w:rPr>
                <w:sz w:val="4"/>
                <w:szCs w:val="4"/>
              </w:rPr>
            </w:pPr>
            <w:r>
              <w:rPr>
                <w:sz w:val="4"/>
                <w:szCs w:val="4"/>
              </w:rPr>
            </w:r>
          </w:p>
        </w:tc>
      </w:tr>
      <w:tr>
        <w:trPr/>
        <w:tc>
          <w:tcPr>
            <w:tcW w:w="3488" w:type="dxa"/>
            <w:tcBorders/>
            <w:vAlign w:val="bottom"/>
          </w:tcPr>
          <w:p>
            <w:pPr>
              <w:pStyle w:val="TableContents"/>
              <w:bidi w:val="0"/>
              <w:spacing w:before="0" w:after="0"/>
              <w:jc w:val="left"/>
              <w:rPr/>
            </w:pPr>
            <w:r>
              <w:rPr/>
              <w:t>  </w:t>
            </w:r>
            <w:r>
              <w:rPr>
                <w:rFonts w:ascii="Times New Roman" w:hAnsi="Times New Roman"/>
                <w:sz w:val="20"/>
              </w:rPr>
              <w:t>African American or Black</w:t>
            </w:r>
          </w:p>
        </w:tc>
        <w:tc>
          <w:tcPr>
            <w:tcW w:w="624"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w:t>
            </w:r>
          </w:p>
        </w:tc>
        <w:tc>
          <w:tcPr>
            <w:tcW w:w="624"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center"/>
              <w:rPr/>
            </w:pPr>
            <w:r>
              <w:rPr/>
              <w:t>-</w:t>
            </w:r>
          </w:p>
        </w:tc>
        <w:tc>
          <w:tcPr>
            <w:tcW w:w="624"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center"/>
              <w:rPr/>
            </w:pPr>
            <w:r>
              <w:rPr/>
              <w:t>-</w:t>
            </w:r>
          </w:p>
        </w:tc>
        <w:tc>
          <w:tcPr>
            <w:tcW w:w="624" w:type="dxa"/>
            <w:tcBorders/>
            <w:vAlign w:val="bottom"/>
          </w:tcPr>
          <w:p>
            <w:pPr>
              <w:pStyle w:val="TableContents"/>
              <w:bidi w:val="0"/>
              <w:spacing w:before="0" w:after="283"/>
              <w:jc w:val="left"/>
              <w:rPr/>
            </w:pPr>
            <w:r>
              <w:rPr/>
              <w:t>  </w:t>
            </w:r>
          </w:p>
        </w:tc>
        <w:tc>
          <w:tcPr>
            <w:tcW w:w="2091" w:type="dxa"/>
            <w:tcBorders/>
            <w:vAlign w:val="bottom"/>
          </w:tcPr>
          <w:p>
            <w:pPr>
              <w:pStyle w:val="TableContents"/>
              <w:bidi w:val="0"/>
              <w:spacing w:before="0" w:after="283"/>
              <w:jc w:val="center"/>
              <w:rPr/>
            </w:pPr>
            <w:r>
              <w:rPr/>
              <w:t>-</w:t>
            </w:r>
          </w:p>
        </w:tc>
      </w:tr>
      <w:tr>
        <w:trPr/>
        <w:tc>
          <w:tcPr>
            <w:tcW w:w="3488" w:type="dxa"/>
            <w:tcBorders/>
            <w:shd w:fill="F2F2F2" w:val="clear"/>
            <w:vAlign w:val="bottom"/>
          </w:tcPr>
          <w:p>
            <w:pPr>
              <w:pStyle w:val="TableContents"/>
              <w:bidi w:val="0"/>
              <w:spacing w:before="0" w:after="0"/>
              <w:jc w:val="left"/>
              <w:rPr/>
            </w:pPr>
            <w:r>
              <w:rPr/>
              <w:t>  </w:t>
            </w:r>
            <w:r>
              <w:rPr>
                <w:rFonts w:ascii="Times New Roman" w:hAnsi="Times New Roman"/>
                <w:sz w:val="20"/>
              </w:rPr>
              <w:t>Alaskan Native or Native American</w:t>
            </w:r>
          </w:p>
        </w:tc>
        <w:tc>
          <w:tcPr>
            <w:tcW w:w="624" w:type="dxa"/>
            <w:tcBorders/>
            <w:shd w:fill="F2F2F2" w:val="clear"/>
            <w:vAlign w:val="bottom"/>
          </w:tcPr>
          <w:p>
            <w:pPr>
              <w:pStyle w:val="TableContents"/>
              <w:bidi w:val="0"/>
              <w:spacing w:before="0" w:after="283"/>
              <w:jc w:val="left"/>
              <w:rPr/>
            </w:pPr>
            <w:r>
              <w:rPr/>
              <w:t>  </w:t>
            </w:r>
          </w:p>
        </w:tc>
        <w:tc>
          <w:tcPr>
            <w:tcW w:w="650" w:type="dxa"/>
            <w:tcBorders/>
            <w:shd w:fill="F2F2F2" w:val="clear"/>
            <w:vAlign w:val="bottom"/>
          </w:tcPr>
          <w:p>
            <w:pPr>
              <w:pStyle w:val="TableContents"/>
              <w:bidi w:val="0"/>
              <w:spacing w:before="0" w:after="283"/>
              <w:jc w:val="center"/>
              <w:rPr/>
            </w:pPr>
            <w:r>
              <w:rPr/>
              <w:t>-</w:t>
            </w:r>
          </w:p>
        </w:tc>
        <w:tc>
          <w:tcPr>
            <w:tcW w:w="624" w:type="dxa"/>
            <w:tcBorders/>
            <w:shd w:fill="F2F2F2" w:val="clear"/>
            <w:vAlign w:val="bottom"/>
          </w:tcPr>
          <w:p>
            <w:pPr>
              <w:pStyle w:val="TableContents"/>
              <w:bidi w:val="0"/>
              <w:spacing w:before="0" w:after="283"/>
              <w:jc w:val="left"/>
              <w:rPr/>
            </w:pPr>
            <w:r>
              <w:rPr/>
              <w:t>  </w:t>
            </w:r>
          </w:p>
        </w:tc>
        <w:tc>
          <w:tcPr>
            <w:tcW w:w="455" w:type="dxa"/>
            <w:tcBorders/>
            <w:shd w:fill="F2F2F2" w:val="clear"/>
            <w:vAlign w:val="bottom"/>
          </w:tcPr>
          <w:p>
            <w:pPr>
              <w:pStyle w:val="TableContents"/>
              <w:bidi w:val="0"/>
              <w:spacing w:before="0" w:after="283"/>
              <w:jc w:val="center"/>
              <w:rPr/>
            </w:pPr>
            <w:r>
              <w:rPr/>
              <w:t>-</w:t>
            </w:r>
          </w:p>
        </w:tc>
        <w:tc>
          <w:tcPr>
            <w:tcW w:w="624" w:type="dxa"/>
            <w:tcBorders/>
            <w:shd w:fill="F2F2F2" w:val="clear"/>
            <w:vAlign w:val="bottom"/>
          </w:tcPr>
          <w:p>
            <w:pPr>
              <w:pStyle w:val="TableContents"/>
              <w:bidi w:val="0"/>
              <w:spacing w:before="0" w:after="283"/>
              <w:jc w:val="left"/>
              <w:rPr/>
            </w:pPr>
            <w:r>
              <w:rPr/>
              <w:t>  </w:t>
            </w:r>
          </w:p>
        </w:tc>
        <w:tc>
          <w:tcPr>
            <w:tcW w:w="1025" w:type="dxa"/>
            <w:tcBorders/>
            <w:shd w:fill="F2F2F2" w:val="clear"/>
            <w:vAlign w:val="bottom"/>
          </w:tcPr>
          <w:p>
            <w:pPr>
              <w:pStyle w:val="TableContents"/>
              <w:bidi w:val="0"/>
              <w:spacing w:before="0" w:after="283"/>
              <w:jc w:val="center"/>
              <w:rPr/>
            </w:pPr>
            <w:r>
              <w:rPr/>
              <w:t>-</w:t>
            </w:r>
          </w:p>
        </w:tc>
        <w:tc>
          <w:tcPr>
            <w:tcW w:w="624" w:type="dxa"/>
            <w:tcBorders/>
            <w:shd w:fill="F2F2F2" w:val="clear"/>
            <w:vAlign w:val="bottom"/>
          </w:tcPr>
          <w:p>
            <w:pPr>
              <w:pStyle w:val="TableContents"/>
              <w:bidi w:val="0"/>
              <w:spacing w:before="0" w:after="283"/>
              <w:jc w:val="left"/>
              <w:rPr/>
            </w:pPr>
            <w:r>
              <w:rPr/>
              <w:t>  </w:t>
            </w:r>
          </w:p>
        </w:tc>
        <w:tc>
          <w:tcPr>
            <w:tcW w:w="2091" w:type="dxa"/>
            <w:tcBorders/>
            <w:shd w:fill="F2F2F2" w:val="clear"/>
            <w:vAlign w:val="bottom"/>
          </w:tcPr>
          <w:p>
            <w:pPr>
              <w:pStyle w:val="TableContents"/>
              <w:bidi w:val="0"/>
              <w:spacing w:before="0" w:after="283"/>
              <w:jc w:val="center"/>
              <w:rPr/>
            </w:pPr>
            <w:r>
              <w:rPr/>
              <w:t>-</w:t>
            </w:r>
          </w:p>
        </w:tc>
      </w:tr>
      <w:tr>
        <w:trPr/>
        <w:tc>
          <w:tcPr>
            <w:tcW w:w="3488" w:type="dxa"/>
            <w:tcBorders/>
            <w:vAlign w:val="bottom"/>
          </w:tcPr>
          <w:p>
            <w:pPr>
              <w:pStyle w:val="TableContents"/>
              <w:bidi w:val="0"/>
              <w:spacing w:before="0" w:after="0"/>
              <w:jc w:val="left"/>
              <w:rPr/>
            </w:pPr>
            <w:r>
              <w:rPr/>
              <w:t>  </w:t>
            </w:r>
            <w:r>
              <w:rPr>
                <w:rFonts w:ascii="Times New Roman" w:hAnsi="Times New Roman"/>
                <w:sz w:val="20"/>
              </w:rPr>
              <w:t>Asian</w:t>
            </w:r>
          </w:p>
        </w:tc>
        <w:tc>
          <w:tcPr>
            <w:tcW w:w="624"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w:t>
            </w:r>
          </w:p>
        </w:tc>
        <w:tc>
          <w:tcPr>
            <w:tcW w:w="624"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center"/>
              <w:rPr/>
            </w:pPr>
            <w:r>
              <w:rPr/>
              <w:t>-</w:t>
            </w:r>
          </w:p>
        </w:tc>
        <w:tc>
          <w:tcPr>
            <w:tcW w:w="624"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center"/>
              <w:rPr/>
            </w:pPr>
            <w:r>
              <w:rPr/>
              <w:t>-</w:t>
            </w:r>
          </w:p>
        </w:tc>
        <w:tc>
          <w:tcPr>
            <w:tcW w:w="624" w:type="dxa"/>
            <w:tcBorders/>
            <w:vAlign w:val="bottom"/>
          </w:tcPr>
          <w:p>
            <w:pPr>
              <w:pStyle w:val="TableContents"/>
              <w:bidi w:val="0"/>
              <w:spacing w:before="0" w:after="283"/>
              <w:jc w:val="left"/>
              <w:rPr/>
            </w:pPr>
            <w:r>
              <w:rPr/>
              <w:t>  </w:t>
            </w:r>
          </w:p>
        </w:tc>
        <w:tc>
          <w:tcPr>
            <w:tcW w:w="2091" w:type="dxa"/>
            <w:tcBorders/>
            <w:vAlign w:val="bottom"/>
          </w:tcPr>
          <w:p>
            <w:pPr>
              <w:pStyle w:val="TableContents"/>
              <w:bidi w:val="0"/>
              <w:spacing w:before="0" w:after="283"/>
              <w:jc w:val="center"/>
              <w:rPr/>
            </w:pPr>
            <w:r>
              <w:rPr/>
              <w:t>-</w:t>
            </w:r>
          </w:p>
        </w:tc>
      </w:tr>
      <w:tr>
        <w:trPr/>
        <w:tc>
          <w:tcPr>
            <w:tcW w:w="3488" w:type="dxa"/>
            <w:tcBorders/>
            <w:shd w:fill="F2F2F2" w:val="clear"/>
            <w:vAlign w:val="bottom"/>
          </w:tcPr>
          <w:p>
            <w:pPr>
              <w:pStyle w:val="TableContents"/>
              <w:bidi w:val="0"/>
              <w:spacing w:before="0" w:after="0"/>
              <w:jc w:val="left"/>
              <w:rPr/>
            </w:pPr>
            <w:r>
              <w:rPr/>
              <w:t>  </w:t>
            </w:r>
            <w:r>
              <w:rPr>
                <w:rFonts w:ascii="Times New Roman" w:hAnsi="Times New Roman"/>
                <w:sz w:val="20"/>
              </w:rPr>
              <w:t>Hispanic or Latinx</w:t>
            </w:r>
          </w:p>
        </w:tc>
        <w:tc>
          <w:tcPr>
            <w:tcW w:w="624" w:type="dxa"/>
            <w:tcBorders/>
            <w:shd w:fill="F2F2F2" w:val="clear"/>
            <w:vAlign w:val="bottom"/>
          </w:tcPr>
          <w:p>
            <w:pPr>
              <w:pStyle w:val="TableContents"/>
              <w:bidi w:val="0"/>
              <w:spacing w:before="0" w:after="283"/>
              <w:jc w:val="left"/>
              <w:rPr/>
            </w:pPr>
            <w:r>
              <w:rPr/>
              <w:t>  </w:t>
            </w:r>
          </w:p>
        </w:tc>
        <w:tc>
          <w:tcPr>
            <w:tcW w:w="650" w:type="dxa"/>
            <w:tcBorders/>
            <w:shd w:fill="F2F2F2" w:val="clear"/>
            <w:vAlign w:val="bottom"/>
          </w:tcPr>
          <w:p>
            <w:pPr>
              <w:pStyle w:val="TableContents"/>
              <w:bidi w:val="0"/>
              <w:spacing w:before="0" w:after="283"/>
              <w:jc w:val="center"/>
              <w:rPr/>
            </w:pPr>
            <w:r>
              <w:rPr/>
              <w:t>-</w:t>
            </w:r>
          </w:p>
        </w:tc>
        <w:tc>
          <w:tcPr>
            <w:tcW w:w="624" w:type="dxa"/>
            <w:tcBorders/>
            <w:shd w:fill="F2F2F2" w:val="clear"/>
            <w:vAlign w:val="bottom"/>
          </w:tcPr>
          <w:p>
            <w:pPr>
              <w:pStyle w:val="TableContents"/>
              <w:bidi w:val="0"/>
              <w:spacing w:before="0" w:after="283"/>
              <w:jc w:val="left"/>
              <w:rPr/>
            </w:pPr>
            <w:r>
              <w:rPr/>
              <w:t>  </w:t>
            </w:r>
          </w:p>
        </w:tc>
        <w:tc>
          <w:tcPr>
            <w:tcW w:w="455" w:type="dxa"/>
            <w:tcBorders/>
            <w:shd w:fill="F2F2F2" w:val="clear"/>
            <w:vAlign w:val="bottom"/>
          </w:tcPr>
          <w:p>
            <w:pPr>
              <w:pStyle w:val="TableContents"/>
              <w:bidi w:val="0"/>
              <w:spacing w:before="0" w:after="283"/>
              <w:jc w:val="center"/>
              <w:rPr/>
            </w:pPr>
            <w:r>
              <w:rPr/>
              <w:t>-</w:t>
            </w:r>
          </w:p>
        </w:tc>
        <w:tc>
          <w:tcPr>
            <w:tcW w:w="624" w:type="dxa"/>
            <w:tcBorders/>
            <w:shd w:fill="F2F2F2" w:val="clear"/>
            <w:vAlign w:val="bottom"/>
          </w:tcPr>
          <w:p>
            <w:pPr>
              <w:pStyle w:val="TableContents"/>
              <w:bidi w:val="0"/>
              <w:spacing w:before="0" w:after="283"/>
              <w:jc w:val="left"/>
              <w:rPr/>
            </w:pPr>
            <w:r>
              <w:rPr/>
              <w:t>  </w:t>
            </w:r>
          </w:p>
        </w:tc>
        <w:tc>
          <w:tcPr>
            <w:tcW w:w="1025" w:type="dxa"/>
            <w:tcBorders/>
            <w:shd w:fill="F2F2F2" w:val="clear"/>
            <w:vAlign w:val="bottom"/>
          </w:tcPr>
          <w:p>
            <w:pPr>
              <w:pStyle w:val="TableContents"/>
              <w:bidi w:val="0"/>
              <w:spacing w:before="0" w:after="283"/>
              <w:jc w:val="center"/>
              <w:rPr/>
            </w:pPr>
            <w:r>
              <w:rPr/>
              <w:t>-</w:t>
            </w:r>
          </w:p>
        </w:tc>
        <w:tc>
          <w:tcPr>
            <w:tcW w:w="624" w:type="dxa"/>
            <w:tcBorders/>
            <w:shd w:fill="F2F2F2" w:val="clear"/>
            <w:vAlign w:val="bottom"/>
          </w:tcPr>
          <w:p>
            <w:pPr>
              <w:pStyle w:val="TableContents"/>
              <w:bidi w:val="0"/>
              <w:spacing w:before="0" w:after="283"/>
              <w:jc w:val="left"/>
              <w:rPr/>
            </w:pPr>
            <w:r>
              <w:rPr/>
              <w:t>  </w:t>
            </w:r>
          </w:p>
        </w:tc>
        <w:tc>
          <w:tcPr>
            <w:tcW w:w="2091" w:type="dxa"/>
            <w:tcBorders/>
            <w:shd w:fill="F2F2F2" w:val="clear"/>
            <w:vAlign w:val="bottom"/>
          </w:tcPr>
          <w:p>
            <w:pPr>
              <w:pStyle w:val="TableContents"/>
              <w:bidi w:val="0"/>
              <w:spacing w:before="0" w:after="283"/>
              <w:jc w:val="center"/>
              <w:rPr/>
            </w:pPr>
            <w:r>
              <w:rPr/>
              <w:t>-</w:t>
            </w:r>
          </w:p>
        </w:tc>
      </w:tr>
      <w:tr>
        <w:trPr/>
        <w:tc>
          <w:tcPr>
            <w:tcW w:w="3488" w:type="dxa"/>
            <w:tcBorders/>
            <w:vAlign w:val="bottom"/>
          </w:tcPr>
          <w:p>
            <w:pPr>
              <w:pStyle w:val="TableContents"/>
              <w:bidi w:val="0"/>
              <w:spacing w:before="0" w:after="0"/>
              <w:jc w:val="left"/>
              <w:rPr/>
            </w:pPr>
            <w:r>
              <w:rPr/>
              <w:t>  </w:t>
            </w:r>
            <w:r>
              <w:rPr>
                <w:rFonts w:ascii="Times New Roman" w:hAnsi="Times New Roman"/>
                <w:sz w:val="20"/>
              </w:rPr>
              <w:t>Native Hawaiian or Pacific Islander</w:t>
            </w:r>
          </w:p>
        </w:tc>
        <w:tc>
          <w:tcPr>
            <w:tcW w:w="624"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pPr>
            <w:r>
              <w:rPr/>
              <w:t>  </w:t>
            </w:r>
          </w:p>
        </w:tc>
        <w:tc>
          <w:tcPr>
            <w:tcW w:w="2091" w:type="dxa"/>
            <w:tcBorders/>
            <w:vAlign w:val="bottom"/>
          </w:tcPr>
          <w:p>
            <w:pPr>
              <w:pStyle w:val="TableContents"/>
              <w:bidi w:val="0"/>
              <w:spacing w:before="0" w:after="283"/>
              <w:jc w:val="left"/>
              <w:rPr>
                <w:sz w:val="4"/>
                <w:szCs w:val="4"/>
              </w:rPr>
            </w:pPr>
            <w:r>
              <w:rPr>
                <w:sz w:val="4"/>
                <w:szCs w:val="4"/>
              </w:rPr>
            </w:r>
          </w:p>
        </w:tc>
      </w:tr>
      <w:tr>
        <w:trPr/>
        <w:tc>
          <w:tcPr>
            <w:tcW w:w="3488" w:type="dxa"/>
            <w:tcBorders/>
            <w:shd w:fill="F2F2F2" w:val="clear"/>
            <w:vAlign w:val="bottom"/>
          </w:tcPr>
          <w:p>
            <w:pPr>
              <w:pStyle w:val="TableContents"/>
              <w:bidi w:val="0"/>
              <w:spacing w:before="0" w:after="0"/>
              <w:jc w:val="left"/>
              <w:rPr/>
            </w:pPr>
            <w:r>
              <w:rPr/>
              <w:t>  </w:t>
            </w:r>
            <w:r>
              <w:rPr>
                <w:rFonts w:ascii="Times New Roman" w:hAnsi="Times New Roman"/>
                <w:sz w:val="20"/>
              </w:rPr>
              <w:t>White</w:t>
            </w:r>
          </w:p>
        </w:tc>
        <w:tc>
          <w:tcPr>
            <w:tcW w:w="624" w:type="dxa"/>
            <w:tcBorders/>
            <w:shd w:fill="F2F2F2" w:val="clear"/>
            <w:vAlign w:val="bottom"/>
          </w:tcPr>
          <w:p>
            <w:pPr>
              <w:pStyle w:val="TableContents"/>
              <w:bidi w:val="0"/>
              <w:spacing w:before="0" w:after="283"/>
              <w:jc w:val="left"/>
              <w:rPr/>
            </w:pPr>
            <w:r>
              <w:rPr/>
              <w:t>  </w:t>
            </w:r>
          </w:p>
        </w:tc>
        <w:tc>
          <w:tcPr>
            <w:tcW w:w="650" w:type="dxa"/>
            <w:tcBorders/>
            <w:shd w:fill="F2F2F2" w:val="clear"/>
            <w:vAlign w:val="bottom"/>
          </w:tcPr>
          <w:p>
            <w:pPr>
              <w:pStyle w:val="TableContents"/>
              <w:bidi w:val="0"/>
              <w:spacing w:before="0" w:after="283"/>
              <w:jc w:val="center"/>
              <w:rPr/>
            </w:pPr>
            <w:r>
              <w:rPr/>
              <w:t>1</w:t>
            </w:r>
          </w:p>
        </w:tc>
        <w:tc>
          <w:tcPr>
            <w:tcW w:w="624" w:type="dxa"/>
            <w:tcBorders/>
            <w:shd w:fill="F2F2F2" w:val="clear"/>
            <w:vAlign w:val="bottom"/>
          </w:tcPr>
          <w:p>
            <w:pPr>
              <w:pStyle w:val="TableContents"/>
              <w:bidi w:val="0"/>
              <w:spacing w:before="0" w:after="283"/>
              <w:jc w:val="left"/>
              <w:rPr/>
            </w:pPr>
            <w:r>
              <w:rPr/>
              <w:t>  </w:t>
            </w:r>
          </w:p>
        </w:tc>
        <w:tc>
          <w:tcPr>
            <w:tcW w:w="455" w:type="dxa"/>
            <w:tcBorders/>
            <w:shd w:fill="F2F2F2" w:val="clear"/>
            <w:vAlign w:val="bottom"/>
          </w:tcPr>
          <w:p>
            <w:pPr>
              <w:pStyle w:val="TableContents"/>
              <w:bidi w:val="0"/>
              <w:spacing w:before="0" w:after="283"/>
              <w:jc w:val="center"/>
              <w:rPr/>
            </w:pPr>
            <w:r>
              <w:rPr/>
              <w:t>8</w:t>
            </w:r>
          </w:p>
        </w:tc>
        <w:tc>
          <w:tcPr>
            <w:tcW w:w="624" w:type="dxa"/>
            <w:tcBorders/>
            <w:shd w:fill="F2F2F2" w:val="clear"/>
            <w:vAlign w:val="bottom"/>
          </w:tcPr>
          <w:p>
            <w:pPr>
              <w:pStyle w:val="TableContents"/>
              <w:bidi w:val="0"/>
              <w:spacing w:before="0" w:after="283"/>
              <w:jc w:val="left"/>
              <w:rPr/>
            </w:pPr>
            <w:r>
              <w:rPr/>
              <w:t>  </w:t>
            </w:r>
          </w:p>
        </w:tc>
        <w:tc>
          <w:tcPr>
            <w:tcW w:w="1025" w:type="dxa"/>
            <w:tcBorders/>
            <w:shd w:fill="F2F2F2" w:val="clear"/>
            <w:vAlign w:val="bottom"/>
          </w:tcPr>
          <w:p>
            <w:pPr>
              <w:pStyle w:val="TableContents"/>
              <w:bidi w:val="0"/>
              <w:spacing w:before="0" w:after="283"/>
              <w:jc w:val="center"/>
              <w:rPr/>
            </w:pPr>
            <w:r>
              <w:rPr/>
              <w:t>-</w:t>
            </w:r>
          </w:p>
        </w:tc>
        <w:tc>
          <w:tcPr>
            <w:tcW w:w="624" w:type="dxa"/>
            <w:tcBorders/>
            <w:shd w:fill="F2F2F2" w:val="clear"/>
            <w:vAlign w:val="bottom"/>
          </w:tcPr>
          <w:p>
            <w:pPr>
              <w:pStyle w:val="TableContents"/>
              <w:bidi w:val="0"/>
              <w:spacing w:before="0" w:after="283"/>
              <w:jc w:val="left"/>
              <w:rPr/>
            </w:pPr>
            <w:r>
              <w:rPr/>
              <w:t>  </w:t>
            </w:r>
          </w:p>
        </w:tc>
        <w:tc>
          <w:tcPr>
            <w:tcW w:w="2091" w:type="dxa"/>
            <w:tcBorders/>
            <w:shd w:fill="F2F2F2" w:val="clear"/>
            <w:vAlign w:val="bottom"/>
          </w:tcPr>
          <w:p>
            <w:pPr>
              <w:pStyle w:val="TableContents"/>
              <w:bidi w:val="0"/>
              <w:spacing w:before="0" w:after="283"/>
              <w:jc w:val="center"/>
              <w:rPr/>
            </w:pPr>
            <w:r>
              <w:rPr/>
              <w:t>-</w:t>
            </w:r>
          </w:p>
        </w:tc>
      </w:tr>
      <w:tr>
        <w:trPr/>
        <w:tc>
          <w:tcPr>
            <w:tcW w:w="3488" w:type="dxa"/>
            <w:tcBorders/>
            <w:vAlign w:val="bottom"/>
          </w:tcPr>
          <w:p>
            <w:pPr>
              <w:pStyle w:val="TableContents"/>
              <w:bidi w:val="0"/>
              <w:spacing w:before="0" w:after="0"/>
              <w:jc w:val="left"/>
              <w:rPr/>
            </w:pPr>
            <w:r>
              <w:rPr/>
              <w:t>  </w:t>
            </w:r>
            <w:r>
              <w:rPr>
                <w:rFonts w:ascii="Times New Roman" w:hAnsi="Times New Roman"/>
                <w:sz w:val="20"/>
              </w:rPr>
              <w:t>Two or More Races or Ethnicities</w:t>
            </w:r>
          </w:p>
        </w:tc>
        <w:tc>
          <w:tcPr>
            <w:tcW w:w="624"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pPr>
            <w:r>
              <w:rPr/>
              <w:t>  </w:t>
            </w:r>
          </w:p>
        </w:tc>
        <w:tc>
          <w:tcPr>
            <w:tcW w:w="2091" w:type="dxa"/>
            <w:tcBorders/>
            <w:vAlign w:val="bottom"/>
          </w:tcPr>
          <w:p>
            <w:pPr>
              <w:pStyle w:val="TableContents"/>
              <w:bidi w:val="0"/>
              <w:spacing w:before="0" w:after="283"/>
              <w:jc w:val="left"/>
              <w:rPr>
                <w:sz w:val="4"/>
                <w:szCs w:val="4"/>
              </w:rPr>
            </w:pPr>
            <w:r>
              <w:rPr>
                <w:sz w:val="4"/>
                <w:szCs w:val="4"/>
              </w:rPr>
            </w:r>
          </w:p>
        </w:tc>
      </w:tr>
      <w:tr>
        <w:trPr/>
        <w:tc>
          <w:tcPr>
            <w:tcW w:w="3488" w:type="dxa"/>
            <w:tcBorders/>
            <w:shd w:fill="F2F2F2" w:val="clear"/>
            <w:vAlign w:val="bottom"/>
          </w:tcPr>
          <w:p>
            <w:pPr>
              <w:pStyle w:val="TableContents"/>
              <w:bidi w:val="0"/>
              <w:spacing w:before="0" w:after="0"/>
              <w:jc w:val="left"/>
              <w:rPr/>
            </w:pPr>
            <w:r>
              <w:rPr/>
              <w:t>  </w:t>
            </w:r>
            <w:r>
              <w:rPr>
                <w:rFonts w:ascii="Times New Roman" w:hAnsi="Times New Roman"/>
                <w:sz w:val="20"/>
              </w:rPr>
              <w:t>LGBTQ+</w:t>
            </w:r>
          </w:p>
        </w:tc>
        <w:tc>
          <w:tcPr>
            <w:tcW w:w="624" w:type="dxa"/>
            <w:tcBorders/>
            <w:shd w:fill="F2F2F2" w:val="clear"/>
            <w:vAlign w:val="bottom"/>
          </w:tcPr>
          <w:p>
            <w:pPr>
              <w:pStyle w:val="TableContents"/>
              <w:bidi w:val="0"/>
              <w:spacing w:before="0" w:after="283"/>
              <w:jc w:val="left"/>
              <w:rPr/>
            </w:pPr>
            <w:r>
              <w:rPr/>
              <w:t>  </w:t>
            </w:r>
          </w:p>
        </w:tc>
        <w:tc>
          <w:tcPr>
            <w:tcW w:w="650" w:type="dxa"/>
            <w:tcBorders/>
            <w:shd w:fill="F2F2F2" w:val="clear"/>
            <w:vAlign w:val="bottom"/>
          </w:tcPr>
          <w:p>
            <w:pPr>
              <w:pStyle w:val="TableContents"/>
              <w:bidi w:val="0"/>
              <w:spacing w:before="0" w:after="283"/>
              <w:jc w:val="center"/>
              <w:rPr/>
            </w:pPr>
            <w:r>
              <w:rPr/>
              <w:t>-</w:t>
            </w:r>
          </w:p>
        </w:tc>
        <w:tc>
          <w:tcPr>
            <w:tcW w:w="624" w:type="dxa"/>
            <w:tcBorders/>
            <w:shd w:fill="F2F2F2" w:val="clear"/>
            <w:vAlign w:val="bottom"/>
          </w:tcPr>
          <w:p>
            <w:pPr>
              <w:pStyle w:val="TableContents"/>
              <w:bidi w:val="0"/>
              <w:spacing w:before="0" w:after="283"/>
              <w:jc w:val="left"/>
              <w:rPr/>
            </w:pPr>
            <w:r>
              <w:rPr/>
              <w:t>  </w:t>
            </w:r>
          </w:p>
        </w:tc>
        <w:tc>
          <w:tcPr>
            <w:tcW w:w="455" w:type="dxa"/>
            <w:tcBorders/>
            <w:shd w:fill="F2F2F2" w:val="clear"/>
            <w:vAlign w:val="bottom"/>
          </w:tcPr>
          <w:p>
            <w:pPr>
              <w:pStyle w:val="TableContents"/>
              <w:bidi w:val="0"/>
              <w:spacing w:before="0" w:after="283"/>
              <w:jc w:val="center"/>
              <w:rPr/>
            </w:pPr>
            <w:r>
              <w:rPr/>
              <w:t>-</w:t>
            </w:r>
          </w:p>
        </w:tc>
        <w:tc>
          <w:tcPr>
            <w:tcW w:w="624" w:type="dxa"/>
            <w:tcBorders/>
            <w:shd w:fill="F2F2F2" w:val="clear"/>
            <w:vAlign w:val="bottom"/>
          </w:tcPr>
          <w:p>
            <w:pPr>
              <w:pStyle w:val="TableContents"/>
              <w:bidi w:val="0"/>
              <w:spacing w:before="0" w:after="283"/>
              <w:jc w:val="left"/>
              <w:rPr/>
            </w:pPr>
            <w:r>
              <w:rPr/>
              <w:t>  </w:t>
            </w:r>
          </w:p>
        </w:tc>
        <w:tc>
          <w:tcPr>
            <w:tcW w:w="1025" w:type="dxa"/>
            <w:tcBorders/>
            <w:shd w:fill="F2F2F2" w:val="clear"/>
            <w:vAlign w:val="bottom"/>
          </w:tcPr>
          <w:p>
            <w:pPr>
              <w:pStyle w:val="TableContents"/>
              <w:bidi w:val="0"/>
              <w:spacing w:before="0" w:after="283"/>
              <w:jc w:val="center"/>
              <w:rPr/>
            </w:pPr>
            <w:r>
              <w:rPr/>
              <w:t>-</w:t>
            </w:r>
          </w:p>
        </w:tc>
        <w:tc>
          <w:tcPr>
            <w:tcW w:w="624" w:type="dxa"/>
            <w:tcBorders/>
            <w:shd w:fill="F2F2F2" w:val="clear"/>
            <w:vAlign w:val="bottom"/>
          </w:tcPr>
          <w:p>
            <w:pPr>
              <w:pStyle w:val="TableContents"/>
              <w:bidi w:val="0"/>
              <w:spacing w:before="0" w:after="283"/>
              <w:jc w:val="left"/>
              <w:rPr/>
            </w:pPr>
            <w:r>
              <w:rPr/>
              <w:t>  </w:t>
            </w:r>
          </w:p>
        </w:tc>
        <w:tc>
          <w:tcPr>
            <w:tcW w:w="2091" w:type="dxa"/>
            <w:tcBorders/>
            <w:shd w:fill="F2F2F2" w:val="clear"/>
            <w:vAlign w:val="bottom"/>
          </w:tcPr>
          <w:p>
            <w:pPr>
              <w:pStyle w:val="TableContents"/>
              <w:bidi w:val="0"/>
              <w:spacing w:before="0" w:after="283"/>
              <w:jc w:val="center"/>
              <w:rPr/>
            </w:pPr>
            <w:r>
              <w:rPr/>
              <w:t>-</w:t>
            </w:r>
          </w:p>
        </w:tc>
      </w:tr>
      <w:tr>
        <w:trPr/>
        <w:tc>
          <w:tcPr>
            <w:tcW w:w="3488" w:type="dxa"/>
            <w:tcBorders/>
            <w:vAlign w:val="bottom"/>
          </w:tcPr>
          <w:p>
            <w:pPr>
              <w:pStyle w:val="TableContents"/>
              <w:bidi w:val="0"/>
              <w:spacing w:before="0" w:after="0"/>
              <w:jc w:val="left"/>
              <w:rPr/>
            </w:pPr>
            <w:r>
              <w:rPr/>
              <w:t>  </w:t>
            </w:r>
            <w:r>
              <w:rPr>
                <w:rFonts w:ascii="Times New Roman" w:hAnsi="Times New Roman"/>
                <w:sz w:val="20"/>
              </w:rPr>
              <w:t>Did Not Disclose Demographic Background</w:t>
            </w:r>
          </w:p>
        </w:tc>
        <w:tc>
          <w:tcPr>
            <w:tcW w:w="624"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center"/>
              <w:rPr/>
            </w:pPr>
            <w:r>
              <w:rPr/>
              <w:t>-</w:t>
            </w:r>
          </w:p>
        </w:tc>
        <w:tc>
          <w:tcPr>
            <w:tcW w:w="624"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center"/>
              <w:rPr/>
            </w:pPr>
            <w:r>
              <w:rPr/>
              <w:t>-</w:t>
            </w:r>
          </w:p>
        </w:tc>
        <w:tc>
          <w:tcPr>
            <w:tcW w:w="624"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center"/>
              <w:rPr/>
            </w:pPr>
            <w:r>
              <w:rPr/>
              <w:t>-</w:t>
            </w:r>
          </w:p>
        </w:tc>
        <w:tc>
          <w:tcPr>
            <w:tcW w:w="624" w:type="dxa"/>
            <w:tcBorders/>
            <w:vAlign w:val="bottom"/>
          </w:tcPr>
          <w:p>
            <w:pPr>
              <w:pStyle w:val="TableContents"/>
              <w:bidi w:val="0"/>
              <w:spacing w:before="0" w:after="283"/>
              <w:jc w:val="left"/>
              <w:rPr/>
            </w:pPr>
            <w:r>
              <w:rPr/>
              <w:t>  </w:t>
            </w:r>
          </w:p>
        </w:tc>
        <w:tc>
          <w:tcPr>
            <w:tcW w:w="2091" w:type="dxa"/>
            <w:tcBorders/>
            <w:vAlign w:val="bottom"/>
          </w:tcPr>
          <w:p>
            <w:pPr>
              <w:pStyle w:val="TableContents"/>
              <w:bidi w:val="0"/>
              <w:spacing w:before="0" w:after="283"/>
              <w:jc w:val="center"/>
              <w:rPr/>
            </w:pPr>
            <w:r>
              <w:rPr/>
              <w: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18</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color w:val="305494"/>
          <w:sz w:val="28"/>
        </w:rPr>
      </w:pPr>
      <w:bookmarkStart w:id="20" w:name="toc674951_18"/>
      <w:bookmarkEnd w:id="20"/>
      <w:r>
        <w:rPr>
          <w:rFonts w:ascii="Times New Roman" w:hAnsi="Times New Roman"/>
          <w:color w:val="305494"/>
          <w:sz w:val="28"/>
        </w:rPr>
        <w:t xml:space="preserve">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Set forth below is biographical information with respect to each current executive officer of the Company, except Mr. Hutton, our President and Chief Executive Officer. Mr. Hutton also serves as a director of the Company, and his biographical information is available above in the section titled Overview of Our Nominees and Continuing DirectorsDirector Nominees. </w:t>
      </w:r>
    </w:p>
    <w:p>
      <w:pPr>
        <w:pStyle w:val="TextBody"/>
        <w:bidi w:val="0"/>
        <w:spacing w:before="240" w:after="0"/>
        <w:jc w:val="left"/>
        <w:rPr>
          <w:rFonts w:ascii="Times New Roman" w:hAnsi="Times New Roman"/>
          <w:sz w:val="20"/>
        </w:rPr>
      </w:pPr>
      <w:r>
        <w:rPr>
          <w:rFonts w:ascii="Times New Roman" w:hAnsi="Times New Roman"/>
          <w:b/>
          <w:i/>
          <w:sz w:val="20"/>
        </w:rPr>
        <w:t>Robin Harper Cowie</w:t>
      </w:r>
      <w:r>
        <w:rPr>
          <w:rFonts w:ascii="Times New Roman" w:hAnsi="Times New Roman"/>
          <w:sz w:val="20"/>
        </w:rPr>
        <w:t xml:space="preserve">, age 44. Ms. Harper Cowie has served as our Chief Financial Officer since April 2017. She has been with the Company in multiple financial and reimbursement positions since March 2011, serving as Vice President of Finance from February 2016 to April 2017, Vice President of Reimbursement &amp; Health Economics from February 2015 to February 2016, Senior Director of Reimbursement from January 2014 to February 2015, and Director of Reimbursement from March 2011 to January 2014. Prior to joining Biodesix, Ms. Harper Cowie held a leadership role in payer and government relations at Precision Therapeutics, Inc. Ms. Harper Cowies background includes corporate finance, managed care and payer relations, reimbursement and regulatory policy, and revenue cycle operations. Additionally, she spent several years as a researcher at the University of Pittsburgh Medical Center. Ms. Harper has also served on the board of the Colorado Bioscience Association since 2023. Ms. Harper Cowie holds a B.S. in Molecular Biology from the University of Pittsburgh, and an M.B.A. in Finance from the Joseph M. Katz Graduate School of Business from the University of Pittsburgh. </w:t>
      </w:r>
    </w:p>
    <w:p>
      <w:pPr>
        <w:pStyle w:val="TextBody"/>
        <w:bidi w:val="0"/>
        <w:spacing w:before="240" w:after="0"/>
        <w:jc w:val="left"/>
        <w:rPr>
          <w:rFonts w:ascii="Times New Roman" w:hAnsi="Times New Roman"/>
          <w:sz w:val="20"/>
        </w:rPr>
      </w:pPr>
      <w:r>
        <w:rPr>
          <w:rFonts w:ascii="Times New Roman" w:hAnsi="Times New Roman"/>
          <w:b/>
          <w:i/>
          <w:sz w:val="20"/>
        </w:rPr>
        <w:t>Kieran OKane</w:t>
      </w:r>
      <w:r>
        <w:rPr>
          <w:rFonts w:ascii="Times New Roman" w:hAnsi="Times New Roman"/>
          <w:sz w:val="20"/>
        </w:rPr>
        <w:t xml:space="preserve">, age 47. Mr. OKane has served as our Chief Commercial Officer since March 2020 and has been with the Company in multiple marketing management roles since February 2018. From April 2016 to February 2018, prior to joining Biodesix, Mr. OKane led the Global Diagnostics Marketing team at NanoString Technologies, a biotechnology company focused in developing cancer diagnostic tools. He is a highly experienced strategic and tactical global sales and marketing leader for both in-line and pipeline products with a career focus in oncology. Mr. OKane has held commercial leadership positions and managed multiple new product launches at Biotheranostics, Cell Therapeutics, Eisai, Cephalon, Bristol-Myers Squibb, and Roche. Mr. OKane received a B.S. in Pharmacology at Kings College, University of London. </w:t>
      </w:r>
    </w:p>
    <w:p>
      <w:pPr>
        <w:pStyle w:val="TextBody"/>
        <w:bidi w:val="0"/>
        <w:spacing w:before="240" w:after="0"/>
        <w:jc w:val="left"/>
        <w:rPr>
          <w:rFonts w:ascii="Times New Roman" w:hAnsi="Times New Roman"/>
          <w:color w:val="305494"/>
          <w:sz w:val="28"/>
        </w:rPr>
      </w:pPr>
      <w:bookmarkStart w:id="21" w:name="toc674951_19"/>
      <w:bookmarkEnd w:id="21"/>
      <w:r>
        <w:rPr>
          <w:rFonts w:ascii="Times New Roman" w:hAnsi="Times New Roman"/>
          <w:color w:val="305494"/>
          <w:sz w:val="28"/>
        </w:rPr>
        <w:t xml:space="preserve">Code of Business Conduct and Ethics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 Code of Business Conduct and Ethics (the Code of Conduct) that applies to all of our employees, officers (including our principal executive officer, principal financial officer and principal accounting officer or controller, or persons performing similar functions), and directors. Stockholders may request a free copy of our Code of Business Conduct and Ethics by contacting Biodesix, Inc., Attention: Chief Financial Officer, 919 West Dillon Rd., Louisville, Colorado 80027. We intend to disclose future amendments to certain provisions of our Code of Conduct, or waivers of such provisions, applicable to any principal executive officer, principal financial officer, principal accounting officer or controller or persons performing similar functions, and our directors, on our website at www.biodesix.com. Reference to our website does not constitute incorporation by reference of the information contained at or accessible through our website into this proxy statement. </w:t>
      </w:r>
    </w:p>
    <w:p>
      <w:pPr>
        <w:pStyle w:val="TextBody"/>
        <w:bidi w:val="0"/>
        <w:spacing w:before="240" w:after="0"/>
        <w:jc w:val="left"/>
        <w:rPr>
          <w:rFonts w:ascii="Times New Roman" w:hAnsi="Times New Roman"/>
          <w:color w:val="305494"/>
          <w:sz w:val="28"/>
        </w:rPr>
      </w:pPr>
      <w:bookmarkStart w:id="22" w:name="toc674951_20"/>
      <w:bookmarkEnd w:id="22"/>
      <w:r>
        <w:rPr>
          <w:rFonts w:ascii="Times New Roman" w:hAnsi="Times New Roman"/>
          <w:color w:val="305494"/>
          <w:sz w:val="28"/>
        </w:rPr>
        <w:t xml:space="preserve">Corporate Governance Guidelines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written corporate governance guidelines which provide the framework for our corporate governance, along with our amended and restated certificate of incorporation, amended and restated bylaws, committee charters and other key governance practices and policies. Our corporate governance guidelines cover a range of topics including, but not limited to, board composition, independence and selection of directors, board membership criteria, conduct of board meetings, board committee composition and functions, board assessment, director compensation and succession planning. Our corporate governance guidelines will be reviewed at least annually by our nominating and corporate governance committee and any proposed changes will be recommended to our full board of directors for approval. A copy of our corporate governance guidelines 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19</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available on our corporate website at www.biodesix.com in the Investor section under GovernanceGovernance Highlights. Reference to our website does not constitute incorporation by reference of the information contained at or accessible through our website into this proxy statement. </w:t>
      </w:r>
    </w:p>
    <w:p>
      <w:pPr>
        <w:pStyle w:val="TextBody"/>
        <w:bidi w:val="0"/>
        <w:spacing w:before="240" w:after="0"/>
        <w:jc w:val="left"/>
        <w:rPr>
          <w:rFonts w:ascii="Times New Roman" w:hAnsi="Times New Roman"/>
          <w:color w:val="305494"/>
          <w:sz w:val="28"/>
        </w:rPr>
      </w:pPr>
      <w:bookmarkStart w:id="23" w:name="toc674951_21"/>
      <w:bookmarkEnd w:id="23"/>
      <w:r>
        <w:rPr>
          <w:rFonts w:ascii="Times New Roman" w:hAnsi="Times New Roman"/>
          <w:color w:val="305494"/>
          <w:sz w:val="28"/>
        </w:rPr>
        <w:t xml:space="preserve">Anti-Hedging and Anti-Pledging Policy </w:t>
      </w:r>
    </w:p>
    <w:p>
      <w:pPr>
        <w:pStyle w:val="TextBody"/>
        <w:bidi w:val="0"/>
        <w:spacing w:before="240" w:after="0"/>
        <w:jc w:val="left"/>
        <w:rPr>
          <w:rFonts w:ascii="Times New Roman" w:hAnsi="Times New Roman"/>
          <w:sz w:val="20"/>
        </w:rPr>
      </w:pPr>
      <w:r>
        <w:rPr>
          <w:rFonts w:ascii="Times New Roman" w:hAnsi="Times New Roman"/>
          <w:sz w:val="20"/>
        </w:rPr>
        <w:t xml:space="preserve">Our insider trading policy prohibits our directors, executive officers and other employees from engaging in hedging transactions or other inherently speculative transactions with respect to Company securities, such as short sales or transactions in put or call options. Our directors, executive officers and other employees are also prohibited from holding Company securities in a margin account or pledging company securities as collateral for a loan. </w:t>
      </w:r>
    </w:p>
    <w:p>
      <w:pPr>
        <w:pStyle w:val="TextBody"/>
        <w:bidi w:val="0"/>
        <w:spacing w:before="240" w:after="0"/>
        <w:jc w:val="left"/>
        <w:rPr>
          <w:rFonts w:ascii="Times New Roman" w:hAnsi="Times New Roman"/>
          <w:color w:val="305494"/>
          <w:sz w:val="28"/>
        </w:rPr>
      </w:pPr>
      <w:bookmarkStart w:id="24" w:name="toc674951_22"/>
      <w:bookmarkEnd w:id="24"/>
      <w:r>
        <w:rPr>
          <w:rFonts w:ascii="Times New Roman" w:hAnsi="Times New Roman"/>
          <w:color w:val="305494"/>
          <w:sz w:val="28"/>
        </w:rPr>
        <w:t xml:space="preserve">Stockholder Communications with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stockholder or other interested party who wishes to communicate with our board of directors or any individual director may send written communications to our board of directors or such director c/o Corporate Secretary, Biodesix, Inc., 919 West Dillon Rd., Louisville, CO 80027. The communication must include the stockholders name, address and an indication that the person is our stockholder. The Corporate Secretary will review any communications received from stockholders and will forward such communications to the appropriate director or directors, or committee of our board of directors, based on the subject matter. Communications that are deemed inappropriate (such as communications that are commercial or frivolous in nature) will not be forwarded. In addition, communications that appear to be unduly hostile, intimidating, threatening, illegal or similarly inappropriate will not be forwarded. </w:t>
      </w:r>
    </w:p>
    <w:p>
      <w:pPr>
        <w:pStyle w:val="TextBody"/>
        <w:bidi w:val="0"/>
        <w:spacing w:before="240" w:after="0"/>
        <w:jc w:val="left"/>
        <w:rPr>
          <w:rFonts w:ascii="Times New Roman" w:hAnsi="Times New Roman"/>
          <w:color w:val="305494"/>
          <w:sz w:val="28"/>
        </w:rPr>
      </w:pPr>
      <w:bookmarkStart w:id="25" w:name="toc674951_23"/>
      <w:bookmarkEnd w:id="25"/>
      <w:r>
        <w:rPr>
          <w:rFonts w:ascii="Times New Roman" w:hAnsi="Times New Roman"/>
          <w:color w:val="305494"/>
          <w:sz w:val="28"/>
        </w:rPr>
        <w:t xml:space="preserve">Certain Relationships and Related-Party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transactions since January 1, 2023 to which we have been a participant in which the amount involved in the transaction exceeds or will exceed $120,000 and in which any of our directors, director nominees, executive officers, or holders of more than 5% of our capital stock, or any immediate family member of, or person sharing the household with, any of these individuals, had or will have a direct or indirect material interest, with certain exceptions, other than compensation arrangements, which are under the section of this proxy statement captioned Executive Compensation.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Subscription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On August 3, 2023, we entered into subscription agreements with a consortium of investors, including all members of our board of directors, certain members of the Companys management team, including our Chief Executive Officer, Chief Financial Officer and Chief Accounting Officer, for the issuance and sale by the Company of an aggregate of 16,975,298 shares at a purchase price of $1.62 per share in a private placement offering, for an aggregate purchase price of $27.5 million. The net proceeds were used, among other things, to fund the commercial expansion of the Companys sales and research and development business units, and for general corporate purposes.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Investor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In October 2018, we entered into an amended and restated investor rights agreement (IRA) with certain holders of our preferred stock and common stock, including certain holders of 5% of our capital stock, and including certain members of, and affiliates of, our directors and certain of our executive officers. The IRA provides the holders of our preferred stock with certain registration rights. After the closing of our initial public offering, the holders of 20,090,745 shares of common stock issuable from conversion of outstanding preferred stock, became entitled to rights with respect to the registration of their shares of common stock under the Securities Act under this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20</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color w:val="305494"/>
          <w:sz w:val="20"/>
        </w:rPr>
      </w:pPr>
      <w:r>
        <w:rPr>
          <w:rFonts w:ascii="Times New Roman" w:hAnsi="Times New Roman"/>
          <w:b/>
          <w:color w:val="305494"/>
          <w:sz w:val="20"/>
        </w:rPr>
        <w:t xml:space="preserve">Indemnification of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in connection with our initial public offering or the start of their service on our board. The indemnification agreements and our bylaws will require us to indemnify our directors against certain liabilities, costs and expenses to the fullest extent not prohibited by DGCL, and have purchased directors and officers liability insurance. Subject to very limited exceptions, our bylaws will also require us to advance expenses incurred by our directors and officers.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Policies and Procedures for Related-Party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has the primary responsibility for the review, approval and oversight of any related-party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adopted a written related-party transaction policy effective October 2020. Under our related-party transaction policy, our management is required to submit any related-party transaction not previously approved or ratified by our audit committee to our audit committee. In approving or rejecting the proposed transactions, our audit committee takes into account all of the relevant facts and circumstances available. All of the transactions described in this section, except for certain equity award grants, occurred prior to the adoption of this policy.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Private Placement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April 5, 2024, we entered into securities purchase agreements with a consortium of investors, including members of our board of directors, certain members of the Companys management team, including our Chief Executive Officer, Chief Financial Officer and Chief Commercial Officer, for the issuance and sale by the Company of 760,857 shares of Series A Preferred Stock at a price of $46.00 per share. On April 5, 2024 we also entered into a registration rights agreement with the consortium of investors, pursuant to which the investors are entitled to certain resale registration rights with respect to shares of our common stock underlying the Series A Preferred Stock that will be held by such investors.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21</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color w:val="305494"/>
          <w:sz w:val="32"/>
        </w:rPr>
      </w:pPr>
      <w:bookmarkStart w:id="26" w:name="toc674951_24"/>
      <w:bookmarkEnd w:id="26"/>
      <w:r>
        <w:rPr>
          <w:rFonts w:ascii="Times New Roman" w:hAnsi="Times New Roman"/>
          <w:b/>
          <w:color w:val="305494"/>
          <w:sz w:val="32"/>
        </w:rPr>
        <w:t xml:space="preserve">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number of outstanding stock options and restricted stock unit (RSU) awards granted to our employees, consultants, and directors, as well as the number of shares of common stock remaining available for future issuance, under our equity compensation plans in effect as of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42"/>
        <w:gridCol w:w="186"/>
        <w:gridCol w:w="96"/>
        <w:gridCol w:w="96"/>
        <w:gridCol w:w="1574"/>
        <w:gridCol w:w="564"/>
        <w:gridCol w:w="127"/>
        <w:gridCol w:w="122"/>
        <w:gridCol w:w="284"/>
        <w:gridCol w:w="894"/>
        <w:gridCol w:w="714"/>
        <w:gridCol w:w="127"/>
        <w:gridCol w:w="98"/>
        <w:gridCol w:w="98"/>
        <w:gridCol w:w="1605"/>
        <w:gridCol w:w="578"/>
      </w:tblGrid>
      <w:tr>
        <w:trPr/>
        <w:tc>
          <w:tcPr>
            <w:tcW w:w="3042"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04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Plan Category:</w:t>
            </w:r>
          </w:p>
        </w:tc>
        <w:tc>
          <w:tcPr>
            <w:tcW w:w="186" w:type="dxa"/>
            <w:tcBorders/>
            <w:vAlign w:val="bottom"/>
          </w:tcPr>
          <w:p>
            <w:pPr>
              <w:pStyle w:val="TableContents"/>
              <w:bidi w:val="0"/>
              <w:spacing w:before="0" w:after="283"/>
              <w:jc w:val="left"/>
              <w:rPr/>
            </w:pPr>
            <w:r>
              <w:rPr/>
              <w:t>  </w:t>
            </w:r>
          </w:p>
        </w:tc>
        <w:tc>
          <w:tcPr>
            <w:tcW w:w="2330" w:type="dxa"/>
            <w:gridSpan w:val="4"/>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 to be</w:t>
              <w:br/>
              <w:t>issued upon exercise of</w:t>
              <w:br/>
              <w:t>outstanding options</w:t>
              <w:br/>
              <w:t>(a)</w:t>
            </w:r>
          </w:p>
        </w:tc>
        <w:tc>
          <w:tcPr>
            <w:tcW w:w="127" w:type="dxa"/>
            <w:tcBorders/>
            <w:vAlign w:val="bottom"/>
          </w:tcPr>
          <w:p>
            <w:pPr>
              <w:pStyle w:val="TableContents"/>
              <w:bidi w:val="0"/>
              <w:spacing w:before="0" w:after="283"/>
              <w:jc w:val="left"/>
              <w:rPr/>
            </w:pPr>
            <w:r>
              <w:rPr/>
              <w:t> </w:t>
            </w:r>
          </w:p>
        </w:tc>
        <w:tc>
          <w:tcPr>
            <w:tcW w:w="2014" w:type="dxa"/>
            <w:gridSpan w:val="4"/>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 of</w:t>
              <w:br/>
              <w:t>outstanding options</w:t>
              <w:br/>
              <w:t>(b)($)</w:t>
            </w:r>
          </w:p>
        </w:tc>
        <w:tc>
          <w:tcPr>
            <w:tcW w:w="127" w:type="dxa"/>
            <w:tcBorders/>
            <w:vAlign w:val="bottom"/>
          </w:tcPr>
          <w:p>
            <w:pPr>
              <w:pStyle w:val="TableContents"/>
              <w:bidi w:val="0"/>
              <w:spacing w:before="0" w:after="283"/>
              <w:jc w:val="left"/>
              <w:rPr/>
            </w:pPr>
            <w:r>
              <w:rPr/>
              <w:t> </w:t>
            </w:r>
          </w:p>
        </w:tc>
        <w:tc>
          <w:tcPr>
            <w:tcW w:w="2379" w:type="dxa"/>
            <w:gridSpan w:val="4"/>
            <w:tcBorders>
              <w:bottom w:val="single" w:sz="8" w:space="0" w:color="000000"/>
            </w:tcBorders>
            <w:tcMar>
              <w:bottom w:w="28" w:type="dxa"/>
            </w:tcMar>
            <w:vAlign w:val="bottom"/>
          </w:tcPr>
          <w:p>
            <w:pPr>
              <w:pStyle w:val="TableContents"/>
              <w:bidi w:val="0"/>
              <w:spacing w:before="0" w:after="283"/>
              <w:jc w:val="center"/>
              <w:rPr>
                <w:b/>
              </w:rPr>
            </w:pPr>
            <w:r>
              <w:rPr>
                <w:b/>
              </w:rPr>
              <w:t>Number of securities</w:t>
              <w:br/>
              <w:t>remaining available for</w:t>
              <w:br/>
              <w:t>issuance under equity</w:t>
              <w:br/>
              <w:t>compensation plans</w:t>
              <w:br/>
              <w:t>(excluding securities</w:t>
              <w:br/>
              <w:t>reflected in column</w:t>
              <w:br/>
              <w:t>(a))</w:t>
            </w:r>
          </w:p>
        </w:tc>
      </w:tr>
      <w:tr>
        <w:trPr/>
        <w:tc>
          <w:tcPr>
            <w:tcW w:w="3042" w:type="dxa"/>
            <w:tcBorders/>
            <w:shd w:fill="F2F2F2" w:val="clear"/>
          </w:tcPr>
          <w:p>
            <w:pPr>
              <w:pStyle w:val="TableContents"/>
              <w:bidi w:val="0"/>
              <w:spacing w:before="0" w:after="0"/>
              <w:jc w:val="left"/>
              <w:rPr/>
            </w:pPr>
            <w:r>
              <w:rPr/>
              <w:t> </w:t>
            </w:r>
            <w:r>
              <w:rPr>
                <w:rFonts w:ascii="Times New Roman" w:hAnsi="Times New Roman"/>
                <w:sz w:val="20"/>
              </w:rPr>
              <w:t>Equity compensation plans approved by security holders(1)</w:t>
            </w:r>
          </w:p>
        </w:tc>
        <w:tc>
          <w:tcPr>
            <w:tcW w:w="186" w:type="dxa"/>
            <w:tcBorders/>
            <w:shd w:fill="F2F2F2" w:val="clear"/>
            <w:vAlign w:val="bottom"/>
          </w:tcPr>
          <w:p>
            <w:pPr>
              <w:pStyle w:val="TableContents"/>
              <w:bidi w:val="0"/>
              <w:spacing w:before="0" w:after="283"/>
              <w:jc w:val="left"/>
              <w:rPr/>
            </w:pPr>
            <w:r>
              <w:rPr/>
              <w:t>  </w:t>
            </w:r>
          </w:p>
        </w:tc>
        <w:tc>
          <w:tcPr>
            <w:tcW w:w="96" w:type="dxa"/>
            <w:tcBorders/>
            <w:shd w:fill="F2F2F2" w:val="clear"/>
            <w:vAlign w:val="bottom"/>
          </w:tcPr>
          <w:p>
            <w:pPr>
              <w:pStyle w:val="TableContents"/>
              <w:bidi w:val="0"/>
              <w:spacing w:before="0" w:after="283"/>
              <w:jc w:val="left"/>
              <w:rPr/>
            </w:pPr>
            <w:r>
              <w:rPr/>
              <w:t> </w:t>
            </w:r>
          </w:p>
        </w:tc>
        <w:tc>
          <w:tcPr>
            <w:tcW w:w="96" w:type="dxa"/>
            <w:tcBorders/>
            <w:shd w:fill="F2F2F2" w:val="clear"/>
            <w:vAlign w:val="bottom"/>
          </w:tcPr>
          <w:p>
            <w:pPr>
              <w:pStyle w:val="TableContents"/>
              <w:bidi w:val="0"/>
              <w:spacing w:before="0" w:after="283"/>
              <w:jc w:val="left"/>
              <w:rPr/>
            </w:pPr>
            <w:r>
              <w:rPr/>
              <w:t> </w:t>
            </w:r>
          </w:p>
        </w:tc>
        <w:tc>
          <w:tcPr>
            <w:tcW w:w="1574" w:type="dxa"/>
            <w:tcBorders/>
            <w:shd w:fill="F2F2F2" w:val="clear"/>
            <w:vAlign w:val="bottom"/>
          </w:tcPr>
          <w:p>
            <w:pPr>
              <w:pStyle w:val="TableContents"/>
              <w:bidi w:val="0"/>
              <w:spacing w:before="0" w:after="283"/>
              <w:jc w:val="right"/>
              <w:rPr/>
            </w:pPr>
            <w:r>
              <w:rPr/>
              <w:t>5,820,680</w:t>
            </w:r>
          </w:p>
        </w:tc>
        <w:tc>
          <w:tcPr>
            <w:tcW w:w="564" w:type="dxa"/>
            <w:tcBorders/>
            <w:shd w:fill="F2F2F2" w:val="clear"/>
            <w:vAlign w:val="bottom"/>
          </w:tcPr>
          <w:p>
            <w:pPr>
              <w:pStyle w:val="TableContents"/>
              <w:bidi w:val="0"/>
              <w:spacing w:before="0" w:after="283"/>
              <w:jc w:val="left"/>
              <w:rPr/>
            </w:pPr>
            <w:r>
              <w:rPr/>
              <w:t>(2) </w:t>
            </w:r>
          </w:p>
        </w:tc>
        <w:tc>
          <w:tcPr>
            <w:tcW w:w="127" w:type="dxa"/>
            <w:tcBorders/>
            <w:shd w:fill="F2F2F2" w:val="clear"/>
            <w:vAlign w:val="bottom"/>
          </w:tcPr>
          <w:p>
            <w:pPr>
              <w:pStyle w:val="TableContents"/>
              <w:bidi w:val="0"/>
              <w:spacing w:before="0" w:after="283"/>
              <w:jc w:val="left"/>
              <w:rPr/>
            </w:pPr>
            <w:r>
              <w:rPr/>
              <w:t> </w:t>
            </w:r>
          </w:p>
        </w:tc>
        <w:tc>
          <w:tcPr>
            <w:tcW w:w="122" w:type="dxa"/>
            <w:tcBorders/>
            <w:shd w:fill="F2F2F2" w:val="clear"/>
            <w:vAlign w:val="bottom"/>
          </w:tcPr>
          <w:p>
            <w:pPr>
              <w:pStyle w:val="TableContents"/>
              <w:bidi w:val="0"/>
              <w:spacing w:before="0" w:after="283"/>
              <w:jc w:val="left"/>
              <w:rPr/>
            </w:pPr>
            <w:r>
              <w:rPr/>
              <w:t> </w:t>
            </w:r>
          </w:p>
        </w:tc>
        <w:tc>
          <w:tcPr>
            <w:tcW w:w="284" w:type="dxa"/>
            <w:tcBorders/>
            <w:shd w:fill="F2F2F2" w:val="clear"/>
            <w:vAlign w:val="bottom"/>
          </w:tcPr>
          <w:p>
            <w:pPr>
              <w:pStyle w:val="TableContents"/>
              <w:bidi w:val="0"/>
              <w:spacing w:before="0" w:after="283"/>
              <w:jc w:val="left"/>
              <w:rPr/>
            </w:pPr>
            <w:r>
              <w:rPr/>
              <w:t>$</w:t>
            </w:r>
          </w:p>
        </w:tc>
        <w:tc>
          <w:tcPr>
            <w:tcW w:w="894" w:type="dxa"/>
            <w:tcBorders/>
            <w:shd w:fill="F2F2F2" w:val="clear"/>
            <w:vAlign w:val="bottom"/>
          </w:tcPr>
          <w:p>
            <w:pPr>
              <w:pStyle w:val="TableContents"/>
              <w:bidi w:val="0"/>
              <w:spacing w:before="0" w:after="283"/>
              <w:jc w:val="right"/>
              <w:rPr/>
            </w:pPr>
            <w:r>
              <w:rPr/>
              <w:t>3.17</w:t>
            </w:r>
          </w:p>
        </w:tc>
        <w:tc>
          <w:tcPr>
            <w:tcW w:w="714" w:type="dxa"/>
            <w:tcBorders/>
            <w:shd w:fill="F2F2F2" w:val="clear"/>
            <w:vAlign w:val="bottom"/>
          </w:tcPr>
          <w:p>
            <w:pPr>
              <w:pStyle w:val="TableContents"/>
              <w:bidi w:val="0"/>
              <w:spacing w:before="0" w:after="283"/>
              <w:jc w:val="left"/>
              <w:rPr/>
            </w:pPr>
            <w:r>
              <w:rPr/>
              <w:t>(3) </w:t>
            </w:r>
          </w:p>
        </w:tc>
        <w:tc>
          <w:tcPr>
            <w:tcW w:w="127" w:type="dxa"/>
            <w:tcBorders/>
            <w:shd w:fill="F2F2F2" w:val="clear"/>
            <w:vAlign w:val="bottom"/>
          </w:tcPr>
          <w:p>
            <w:pPr>
              <w:pStyle w:val="TableContents"/>
              <w:bidi w:val="0"/>
              <w:spacing w:before="0" w:after="283"/>
              <w:jc w:val="left"/>
              <w:rPr/>
            </w:pPr>
            <w:r>
              <w:rPr/>
              <w:t> </w:t>
            </w:r>
          </w:p>
        </w:tc>
        <w:tc>
          <w:tcPr>
            <w:tcW w:w="98" w:type="dxa"/>
            <w:tcBorders/>
            <w:shd w:fill="F2F2F2" w:val="clear"/>
            <w:vAlign w:val="bottom"/>
          </w:tcPr>
          <w:p>
            <w:pPr>
              <w:pStyle w:val="TableContents"/>
              <w:bidi w:val="0"/>
              <w:spacing w:before="0" w:after="283"/>
              <w:jc w:val="left"/>
              <w:rPr/>
            </w:pPr>
            <w:r>
              <w:rPr/>
              <w:t> </w:t>
            </w:r>
          </w:p>
        </w:tc>
        <w:tc>
          <w:tcPr>
            <w:tcW w:w="98" w:type="dxa"/>
            <w:tcBorders/>
            <w:shd w:fill="F2F2F2" w:val="clear"/>
            <w:vAlign w:val="bottom"/>
          </w:tcPr>
          <w:p>
            <w:pPr>
              <w:pStyle w:val="TableContents"/>
              <w:bidi w:val="0"/>
              <w:spacing w:before="0" w:after="283"/>
              <w:jc w:val="left"/>
              <w:rPr/>
            </w:pPr>
            <w:r>
              <w:rPr/>
              <w:t> </w:t>
            </w:r>
          </w:p>
        </w:tc>
        <w:tc>
          <w:tcPr>
            <w:tcW w:w="1605" w:type="dxa"/>
            <w:tcBorders/>
            <w:shd w:fill="F2F2F2" w:val="clear"/>
            <w:vAlign w:val="bottom"/>
          </w:tcPr>
          <w:p>
            <w:pPr>
              <w:pStyle w:val="TableContents"/>
              <w:bidi w:val="0"/>
              <w:spacing w:before="0" w:after="283"/>
              <w:jc w:val="right"/>
              <w:rPr/>
            </w:pPr>
            <w:r>
              <w:rPr/>
              <w:t>1,269,317</w:t>
            </w:r>
          </w:p>
        </w:tc>
        <w:tc>
          <w:tcPr>
            <w:tcW w:w="578" w:type="dxa"/>
            <w:tcBorders/>
            <w:shd w:fill="F2F2F2" w:val="clear"/>
            <w:vAlign w:val="bottom"/>
          </w:tcPr>
          <w:p>
            <w:pPr>
              <w:pStyle w:val="TableContents"/>
              <w:bidi w:val="0"/>
              <w:spacing w:before="0" w:after="283"/>
              <w:jc w:val="left"/>
              <w:rPr/>
            </w:pPr>
            <w:r>
              <w:rPr/>
              <w:t>(4) </w:t>
            </w:r>
          </w:p>
        </w:tc>
      </w:tr>
      <w:tr>
        <w:trPr/>
        <w:tc>
          <w:tcPr>
            <w:tcW w:w="3042" w:type="dxa"/>
            <w:tcBorders/>
          </w:tcPr>
          <w:p>
            <w:pPr>
              <w:pStyle w:val="TableContents"/>
              <w:bidi w:val="0"/>
              <w:spacing w:before="0" w:after="0"/>
              <w:jc w:val="left"/>
              <w:rPr/>
            </w:pPr>
            <w:r>
              <w:rPr/>
              <w:t> </w:t>
            </w:r>
            <w:r>
              <w:rPr>
                <w:rFonts w:ascii="Times New Roman" w:hAnsi="Times New Roman"/>
                <w:sz w:val="20"/>
              </w:rPr>
              <w:t>Equity compensation plans not approved by security holders</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 </w:t>
            </w:r>
          </w:p>
        </w:tc>
        <w:tc>
          <w:tcPr>
            <w:tcW w:w="564"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714"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05" w:type="dxa"/>
            <w:tcBorders/>
            <w:vAlign w:val="bottom"/>
          </w:tcPr>
          <w:p>
            <w:pPr>
              <w:pStyle w:val="TableContents"/>
              <w:bidi w:val="0"/>
              <w:spacing w:before="0" w:after="283"/>
              <w:jc w:val="right"/>
              <w:rPr/>
            </w:pPr>
            <w:r>
              <w:rPr/>
              <w:t> </w:t>
            </w:r>
          </w:p>
        </w:tc>
        <w:tc>
          <w:tcPr>
            <w:tcW w:w="578" w:type="dxa"/>
            <w:tcBorders/>
            <w:vAlign w:val="bottom"/>
          </w:tcPr>
          <w:p>
            <w:pPr>
              <w:pStyle w:val="TableContents"/>
              <w:bidi w:val="0"/>
              <w:spacing w:before="0" w:after="283"/>
              <w:jc w:val="left"/>
              <w:rPr>
                <w:sz w:val="4"/>
                <w:szCs w:val="4"/>
              </w:rPr>
            </w:pPr>
            <w:r>
              <w:rPr>
                <w:sz w:val="4"/>
                <w:szCs w:val="4"/>
              </w:rPr>
            </w:r>
          </w:p>
        </w:tc>
      </w:tr>
      <w:tr>
        <w:trPr/>
        <w:tc>
          <w:tcPr>
            <w:tcW w:w="3042" w:type="dxa"/>
            <w:tcBorders/>
            <w:shd w:fill="F2F2F2" w:val="clear"/>
          </w:tcPr>
          <w:p>
            <w:pPr>
              <w:pStyle w:val="TableContents"/>
              <w:bidi w:val="0"/>
              <w:spacing w:before="0" w:after="0"/>
              <w:jc w:val="left"/>
              <w:rPr/>
            </w:pPr>
            <w:r>
              <w:rPr/>
              <w:t> </w:t>
            </w:r>
            <w:r>
              <w:rPr>
                <w:rFonts w:ascii="Times New Roman" w:hAnsi="Times New Roman"/>
                <w:sz w:val="20"/>
              </w:rPr>
              <w:t>Total</w:t>
            </w:r>
          </w:p>
        </w:tc>
        <w:tc>
          <w:tcPr>
            <w:tcW w:w="186" w:type="dxa"/>
            <w:tcBorders/>
            <w:shd w:fill="F2F2F2" w:val="clear"/>
            <w:vAlign w:val="bottom"/>
          </w:tcPr>
          <w:p>
            <w:pPr>
              <w:pStyle w:val="TableContents"/>
              <w:bidi w:val="0"/>
              <w:spacing w:before="0" w:after="283"/>
              <w:jc w:val="left"/>
              <w:rPr/>
            </w:pPr>
            <w:r>
              <w:rPr/>
              <w:t>  </w:t>
            </w:r>
          </w:p>
        </w:tc>
        <w:tc>
          <w:tcPr>
            <w:tcW w:w="96" w:type="dxa"/>
            <w:tcBorders/>
            <w:shd w:fill="F2F2F2" w:val="clear"/>
            <w:vAlign w:val="bottom"/>
          </w:tcPr>
          <w:p>
            <w:pPr>
              <w:pStyle w:val="TableContents"/>
              <w:bidi w:val="0"/>
              <w:spacing w:before="0" w:after="283"/>
              <w:jc w:val="left"/>
              <w:rPr/>
            </w:pPr>
            <w:r>
              <w:rPr/>
              <w:t> </w:t>
            </w:r>
          </w:p>
        </w:tc>
        <w:tc>
          <w:tcPr>
            <w:tcW w:w="96" w:type="dxa"/>
            <w:tcBorders/>
            <w:shd w:fill="F2F2F2" w:val="clear"/>
            <w:vAlign w:val="bottom"/>
          </w:tcPr>
          <w:p>
            <w:pPr>
              <w:pStyle w:val="TableContents"/>
              <w:bidi w:val="0"/>
              <w:spacing w:before="0" w:after="283"/>
              <w:jc w:val="left"/>
              <w:rPr/>
            </w:pPr>
            <w:r>
              <w:rPr/>
              <w:t> </w:t>
            </w:r>
          </w:p>
        </w:tc>
        <w:tc>
          <w:tcPr>
            <w:tcW w:w="1574" w:type="dxa"/>
            <w:tcBorders/>
            <w:shd w:fill="F2F2F2" w:val="clear"/>
            <w:vAlign w:val="bottom"/>
          </w:tcPr>
          <w:p>
            <w:pPr>
              <w:pStyle w:val="TableContents"/>
              <w:bidi w:val="0"/>
              <w:spacing w:before="0" w:after="283"/>
              <w:jc w:val="right"/>
              <w:rPr/>
            </w:pPr>
            <w:r>
              <w:rPr/>
              <w:t>5,820,680</w:t>
            </w:r>
          </w:p>
        </w:tc>
        <w:tc>
          <w:tcPr>
            <w:tcW w:w="564" w:type="dxa"/>
            <w:tcBorders/>
            <w:shd w:fill="F2F2F2" w:val="clear"/>
            <w:vAlign w:val="bottom"/>
          </w:tcPr>
          <w:p>
            <w:pPr>
              <w:pStyle w:val="TableContents"/>
              <w:bidi w:val="0"/>
              <w:spacing w:before="0" w:after="283"/>
              <w:jc w:val="left"/>
              <w:rPr>
                <w:sz w:val="4"/>
                <w:szCs w:val="4"/>
              </w:rPr>
            </w:pPr>
            <w:r>
              <w:rPr>
                <w:sz w:val="4"/>
                <w:szCs w:val="4"/>
              </w:rPr>
            </w:r>
          </w:p>
        </w:tc>
        <w:tc>
          <w:tcPr>
            <w:tcW w:w="127" w:type="dxa"/>
            <w:tcBorders/>
            <w:shd w:fill="F2F2F2" w:val="clear"/>
            <w:vAlign w:val="bottom"/>
          </w:tcPr>
          <w:p>
            <w:pPr>
              <w:pStyle w:val="TableContents"/>
              <w:bidi w:val="0"/>
              <w:spacing w:before="0" w:after="283"/>
              <w:jc w:val="left"/>
              <w:rPr/>
            </w:pPr>
            <w:r>
              <w:rPr/>
              <w:t> </w:t>
            </w:r>
          </w:p>
        </w:tc>
        <w:tc>
          <w:tcPr>
            <w:tcW w:w="122" w:type="dxa"/>
            <w:tcBorders/>
            <w:shd w:fill="F2F2F2" w:val="clear"/>
            <w:vAlign w:val="bottom"/>
          </w:tcPr>
          <w:p>
            <w:pPr>
              <w:pStyle w:val="TableContents"/>
              <w:bidi w:val="0"/>
              <w:spacing w:before="0" w:after="283"/>
              <w:jc w:val="left"/>
              <w:rPr/>
            </w:pPr>
            <w:r>
              <w:rPr/>
              <w:t> </w:t>
            </w:r>
          </w:p>
        </w:tc>
        <w:tc>
          <w:tcPr>
            <w:tcW w:w="284" w:type="dxa"/>
            <w:tcBorders/>
            <w:shd w:fill="F2F2F2" w:val="clear"/>
            <w:vAlign w:val="bottom"/>
          </w:tcPr>
          <w:p>
            <w:pPr>
              <w:pStyle w:val="TableContents"/>
              <w:bidi w:val="0"/>
              <w:spacing w:before="0" w:after="283"/>
              <w:jc w:val="left"/>
              <w:rPr/>
            </w:pPr>
            <w:r>
              <w:rPr/>
              <w:t>$</w:t>
            </w:r>
          </w:p>
        </w:tc>
        <w:tc>
          <w:tcPr>
            <w:tcW w:w="894" w:type="dxa"/>
            <w:tcBorders/>
            <w:shd w:fill="F2F2F2" w:val="clear"/>
            <w:vAlign w:val="bottom"/>
          </w:tcPr>
          <w:p>
            <w:pPr>
              <w:pStyle w:val="TableContents"/>
              <w:bidi w:val="0"/>
              <w:spacing w:before="0" w:after="283"/>
              <w:jc w:val="right"/>
              <w:rPr/>
            </w:pPr>
            <w:r>
              <w:rPr/>
              <w:t>3.17</w:t>
            </w:r>
          </w:p>
        </w:tc>
        <w:tc>
          <w:tcPr>
            <w:tcW w:w="714" w:type="dxa"/>
            <w:tcBorders/>
            <w:shd w:fill="F2F2F2" w:val="clear"/>
            <w:vAlign w:val="bottom"/>
          </w:tcPr>
          <w:p>
            <w:pPr>
              <w:pStyle w:val="TableContents"/>
              <w:bidi w:val="0"/>
              <w:spacing w:before="0" w:after="283"/>
              <w:jc w:val="left"/>
              <w:rPr>
                <w:sz w:val="4"/>
                <w:szCs w:val="4"/>
              </w:rPr>
            </w:pPr>
            <w:r>
              <w:rPr>
                <w:sz w:val="4"/>
                <w:szCs w:val="4"/>
              </w:rPr>
            </w:r>
          </w:p>
        </w:tc>
        <w:tc>
          <w:tcPr>
            <w:tcW w:w="127" w:type="dxa"/>
            <w:tcBorders/>
            <w:shd w:fill="F2F2F2" w:val="clear"/>
            <w:vAlign w:val="bottom"/>
          </w:tcPr>
          <w:p>
            <w:pPr>
              <w:pStyle w:val="TableContents"/>
              <w:bidi w:val="0"/>
              <w:spacing w:before="0" w:after="283"/>
              <w:jc w:val="left"/>
              <w:rPr/>
            </w:pPr>
            <w:r>
              <w:rPr/>
              <w:t> </w:t>
            </w:r>
          </w:p>
        </w:tc>
        <w:tc>
          <w:tcPr>
            <w:tcW w:w="98" w:type="dxa"/>
            <w:tcBorders/>
            <w:shd w:fill="F2F2F2" w:val="clear"/>
            <w:vAlign w:val="bottom"/>
          </w:tcPr>
          <w:p>
            <w:pPr>
              <w:pStyle w:val="TableContents"/>
              <w:bidi w:val="0"/>
              <w:spacing w:before="0" w:after="283"/>
              <w:jc w:val="left"/>
              <w:rPr/>
            </w:pPr>
            <w:r>
              <w:rPr/>
              <w:t> </w:t>
            </w:r>
          </w:p>
        </w:tc>
        <w:tc>
          <w:tcPr>
            <w:tcW w:w="98" w:type="dxa"/>
            <w:tcBorders/>
            <w:shd w:fill="F2F2F2" w:val="clear"/>
            <w:vAlign w:val="bottom"/>
          </w:tcPr>
          <w:p>
            <w:pPr>
              <w:pStyle w:val="TableContents"/>
              <w:bidi w:val="0"/>
              <w:spacing w:before="0" w:after="283"/>
              <w:jc w:val="left"/>
              <w:rPr/>
            </w:pPr>
            <w:r>
              <w:rPr/>
              <w:t> </w:t>
            </w:r>
          </w:p>
        </w:tc>
        <w:tc>
          <w:tcPr>
            <w:tcW w:w="1605" w:type="dxa"/>
            <w:tcBorders/>
            <w:shd w:fill="F2F2F2" w:val="clear"/>
            <w:vAlign w:val="bottom"/>
          </w:tcPr>
          <w:p>
            <w:pPr>
              <w:pStyle w:val="TableContents"/>
              <w:bidi w:val="0"/>
              <w:spacing w:before="0" w:after="283"/>
              <w:jc w:val="right"/>
              <w:rPr/>
            </w:pPr>
            <w:r>
              <w:rPr/>
              <w:t>1,269,317</w:t>
            </w:r>
          </w:p>
        </w:tc>
        <w:tc>
          <w:tcPr>
            <w:tcW w:w="578" w:type="dxa"/>
            <w:tcBorders/>
            <w:shd w:fill="F2F2F2" w:val="clear"/>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9391"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Includes the 2006 Employee, Director and Consultant Stock Plan (2006 Incentive Plan), the 2016 Equity Incentive Plan (2016 Incentive Plan), the 2020 Equity Incentive Plan (2020 Incentive Plan), the 2020 Employee Stock Purchase Plan (ESPP), the 2011 Second Amended and Restated Bonus-to-Options Program and the 2015 Third Amended and Restated Bonus-to-Options Program. </w:t>
            </w:r>
          </w:p>
        </w:tc>
      </w:tr>
    </w:tbl>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9391"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Includes 79,104 RSUs that were outstanding on December 31, 2023 under the 2016 Incentive Plan and 2,649,951 RSUs that were outstanding on December 31, 2023 under the 2020 Incentive Plan. RSU awards may be settled only for shares of common stock on a one-for-one basis. </w:t>
            </w:r>
          </w:p>
        </w:tc>
      </w:tr>
    </w:tbl>
    <w:tbl>
      <w:tblPr>
        <w:tblW w:w="5000" w:type="pct"/>
        <w:jc w:val="left"/>
        <w:tblInd w:w="0" w:type="dxa"/>
        <w:tblLayout w:type="fixed"/>
        <w:tblCellMar>
          <w:top w:w="0" w:type="dxa"/>
          <w:left w:w="0" w:type="dxa"/>
          <w:bottom w:w="0" w:type="dxa"/>
          <w:right w:w="0" w:type="dxa"/>
        </w:tblCellMar>
      </w:tblPr>
      <w:tblGrid>
        <w:gridCol w:w="408"/>
        <w:gridCol w:w="408"/>
        <w:gridCol w:w="9389"/>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938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Only option awards were used in computing the weighted-average exercise price. </w:t>
            </w:r>
          </w:p>
        </w:tc>
      </w:tr>
    </w:tbl>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9391"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This amount represents 960,305 shares of common stock available for issuance under the 2020 Incentive Plan and 309,012 shares of common stock available for issuance under the ESPP, 216,506 of which were subject to purchase under the offering period in effect as of December 31, 2023, which offering period ended on February 29, 2024. Awards available for grant under the Companys 2020 Incentive Plan include stock options, stock appreciation rights, restricted stock, RSUs, other stock awards, performance awards, and any combination of the foregoing awards. The number of shares of our common stock reserved for issuance under our 2020 Incentive Plan will automatically increase on the first day of each fiscal year by 4% of the number of shares of common stock outstanding on the immediately preceding December 31 or such lesser amount as is determined by our board of directors. The ESPP provides the opportunity for eligible coworkers to acquire shares of our common stock at a discount. The number of shares of our common stock reserved for issuance under our ESPP will automatically increase on the first day of each fiscal year by the lesser of 1% of the number of shares of common stock outstanding on the immediately preceding December 31, 338,106 shares of our common stock or such lesser amount as is determined by our board of directors.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22</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color w:val="305494"/>
          <w:sz w:val="32"/>
        </w:rPr>
      </w:pPr>
      <w:bookmarkStart w:id="27" w:name="toc674951_25"/>
      <w:bookmarkEnd w:id="27"/>
      <w:r>
        <w:rPr>
          <w:rFonts w:ascii="Times New Roman" w:hAnsi="Times New Roman"/>
          <w:b/>
          <w:color w:val="305494"/>
          <w:sz w:val="32"/>
        </w:rPr>
        <w:t xml:space="preserve">DIRECTOR COMPENSATION </w:t>
      </w:r>
    </w:p>
    <w:p>
      <w:pPr>
        <w:pStyle w:val="TextBody"/>
        <w:bidi w:val="0"/>
        <w:spacing w:before="240" w:after="0"/>
        <w:jc w:val="left"/>
        <w:rPr>
          <w:rFonts w:ascii="Times New Roman" w:hAnsi="Times New Roman"/>
          <w:color w:val="305494"/>
          <w:sz w:val="28"/>
        </w:rPr>
      </w:pPr>
      <w:bookmarkStart w:id="28" w:name="toc674951_26"/>
      <w:bookmarkEnd w:id="28"/>
      <w:r>
        <w:rPr>
          <w:rFonts w:ascii="Times New Roman" w:hAnsi="Times New Roman"/>
          <w:color w:val="305494"/>
          <w:sz w:val="28"/>
        </w:rPr>
        <w:t xml:space="preserve">Non-Employee Director Compensation Policy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our non-employee director compensation policy, which was amended in the first quarter of 2023. Our employee director receives no additional compensation for service on our board of directors. </w:t>
      </w:r>
    </w:p>
    <w:p>
      <w:pPr>
        <w:pStyle w:val="TextBody"/>
        <w:bidi w:val="0"/>
        <w:spacing w:before="120" w:after="0"/>
        <w:jc w:val="left"/>
        <w:rPr/>
      </w:pPr>
      <w:r>
        <w:rPr>
          <w:color w:val="305494"/>
        </w:rPr>
        <w:t>●</w:t>
      </w:r>
      <w:r>
        <w:rPr/>
        <w:t xml:space="preserve"> </w:t>
      </w:r>
      <w:r>
        <w:rPr>
          <w:rFonts w:ascii="Times New Roman" w:hAnsi="Times New Roman"/>
          <w:sz w:val="20"/>
          <w:u w:val="single"/>
        </w:rPr>
        <w:t>Annual Retainers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8"/>
        <w:gridCol w:w="8981"/>
      </w:tblGrid>
      <w:tr>
        <w:trPr/>
        <w:tc>
          <w:tcPr>
            <w:tcW w:w="8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non-employee director was entitled to a retainer in the amount of $10,000 for the period of January 1, 2023 to March 31, 2023, and the Audit Committee Chair, Compensation Committee Chair, and Nominating and Corporate Governance Committee Chair were entitled to an additional retainer in the amount of $5,000, $3,750 and $2,500, respectively, for such period. Non-employee directors elected to receive this retainer in the form of RSUs, which were granted on January 3, 2023, valued based on the closing price of our common stock on the date of grant, and vested on March 31, 2023. If a non-employee director became a director after January 1, 2023, his or her RSU grant was prorated based on the period of the non-employee director service on our board during the quarter. The closing price of our common stock on January 3, 2023 was $2.05. Based on this price, it was determined that each non-employee director other than Mr. Kennedy was entitled to a grant of 4,878 RSUs. In addition, the Audit Committee Chair, Compensation Committee Chair, and Nominating and Corporate Governance Committee Chair were entitled to a grant of 2,439 RSUs, 1,829 RSUs, and 1,219 RSUs, respectively. Mr. Kennedy received a prorated grant of 4,769 RSUs based on the closing price of our common stock on January 3,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407"/>
        <w:gridCol w:w="8984"/>
      </w:tblGrid>
      <w:tr>
        <w:trPr/>
        <w:tc>
          <w:tcPr>
            <w:tcW w:w="81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service from April 1, 2023 to March 31, 2024, each non-employee director is entitled to receive annual retainers in the amount summarized in the table below.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50"/>
        <w:gridCol w:w="931"/>
        <w:gridCol w:w="153"/>
        <w:gridCol w:w="358"/>
        <w:gridCol w:w="1798"/>
        <w:gridCol w:w="65"/>
      </w:tblGrid>
      <w:tr>
        <w:trPr/>
        <w:tc>
          <w:tcPr>
            <w:tcW w:w="4450" w:type="dxa"/>
            <w:tcBorders/>
            <w:vAlign w:val="center"/>
          </w:tcPr>
          <w:p>
            <w:pPr>
              <w:pStyle w:val="TableContents"/>
              <w:bidi w:val="0"/>
              <w:spacing w:before="0" w:after="283"/>
              <w:jc w:val="left"/>
              <w:rPr>
                <w:sz w:val="4"/>
                <w:szCs w:val="4"/>
              </w:rPr>
            </w:pPr>
            <w:r>
              <w:rPr>
                <w:sz w:val="4"/>
                <w:szCs w:val="4"/>
              </w:rPr>
            </w:r>
          </w:p>
        </w:tc>
        <w:tc>
          <w:tcPr>
            <w:tcW w:w="931"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450" w:type="dxa"/>
            <w:tcBorders/>
            <w:vAlign w:val="bottom"/>
          </w:tcPr>
          <w:p>
            <w:pPr>
              <w:pStyle w:val="TableContents"/>
              <w:bidi w:val="0"/>
              <w:spacing w:before="0" w:after="283"/>
              <w:jc w:val="left"/>
              <w:rPr>
                <w:b/>
              </w:rPr>
            </w:pPr>
            <w:r>
              <w:rPr>
                <w:b/>
              </w:rPr>
              <w:t>Position</w:t>
            </w:r>
          </w:p>
        </w:tc>
        <w:tc>
          <w:tcPr>
            <w:tcW w:w="931" w:type="dxa"/>
            <w:tcBorders/>
            <w:vAlign w:val="bottom"/>
          </w:tcPr>
          <w:p>
            <w:pPr>
              <w:pStyle w:val="TableContents"/>
              <w:bidi w:val="0"/>
              <w:spacing w:before="0" w:after="283"/>
              <w:jc w:val="left"/>
              <w:rPr/>
            </w:pPr>
            <w:r>
              <w:rPr/>
              <w:t>  </w:t>
            </w:r>
          </w:p>
        </w:tc>
        <w:tc>
          <w:tcPr>
            <w:tcW w:w="2374" w:type="dxa"/>
            <w:gridSpan w:val="4"/>
            <w:tcBorders>
              <w:bottom w:val="single" w:sz="8" w:space="0" w:color="000000"/>
            </w:tcBorders>
            <w:tcMar>
              <w:bottom w:w="28" w:type="dxa"/>
            </w:tcMar>
            <w:vAlign w:val="bottom"/>
          </w:tcPr>
          <w:p>
            <w:pPr>
              <w:pStyle w:val="TableContents"/>
              <w:bidi w:val="0"/>
              <w:spacing w:before="0" w:after="283"/>
              <w:jc w:val="center"/>
              <w:rPr>
                <w:b/>
              </w:rPr>
            </w:pPr>
            <w:r>
              <w:rPr>
                <w:b/>
              </w:rPr>
              <w:t>Annual Cash Retainer</w:t>
            </w:r>
          </w:p>
        </w:tc>
      </w:tr>
      <w:tr>
        <w:trPr/>
        <w:tc>
          <w:tcPr>
            <w:tcW w:w="44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Board Member</w:t>
            </w:r>
          </w:p>
        </w:tc>
        <w:tc>
          <w:tcPr>
            <w:tcW w:w="93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w:t>
            </w:r>
          </w:p>
        </w:tc>
        <w:tc>
          <w:tcPr>
            <w:tcW w:w="1798" w:type="dxa"/>
            <w:tcBorders/>
            <w:shd w:fill="CCEEFF" w:val="clear"/>
            <w:vAlign w:val="bottom"/>
          </w:tcPr>
          <w:p>
            <w:pPr>
              <w:pStyle w:val="TableContents"/>
              <w:bidi w:val="0"/>
              <w:spacing w:before="0" w:after="283"/>
              <w:jc w:val="right"/>
              <w:rPr/>
            </w:pPr>
            <w:r>
              <w:rPr/>
              <w:t>40,000</w:t>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Chair of the Board of Directors</w:t>
            </w:r>
          </w:p>
        </w:tc>
        <w:tc>
          <w:tcPr>
            <w:tcW w:w="93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w:t>
            </w:r>
          </w:p>
        </w:tc>
        <w:tc>
          <w:tcPr>
            <w:tcW w:w="1798"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sz w:val="4"/>
                <w:szCs w:val="4"/>
              </w:rPr>
            </w:pPr>
            <w:r>
              <w:rPr>
                <w:sz w:val="4"/>
                <w:szCs w:val="4"/>
              </w:rPr>
            </w:r>
          </w:p>
        </w:tc>
      </w:tr>
      <w:tr>
        <w:trPr/>
        <w:tc>
          <w:tcPr>
            <w:tcW w:w="44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Committee Chairs:</w:t>
            </w:r>
          </w:p>
        </w:tc>
        <w:tc>
          <w:tcPr>
            <w:tcW w:w="93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sz w:val="4"/>
                <w:szCs w:val="4"/>
              </w:rPr>
            </w:pPr>
            <w:r>
              <w:rPr>
                <w:sz w:val="4"/>
                <w:szCs w:val="4"/>
              </w:rPr>
            </w:r>
          </w:p>
        </w:tc>
        <w:tc>
          <w:tcPr>
            <w:tcW w:w="179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Audit</w:t>
            </w:r>
          </w:p>
        </w:tc>
        <w:tc>
          <w:tcPr>
            <w:tcW w:w="93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w:t>
            </w:r>
          </w:p>
        </w:tc>
        <w:tc>
          <w:tcPr>
            <w:tcW w:w="1798" w:type="dxa"/>
            <w:tcBorders/>
            <w:vAlign w:val="bottom"/>
          </w:tcPr>
          <w:p>
            <w:pPr>
              <w:pStyle w:val="TableContents"/>
              <w:bidi w:val="0"/>
              <w:spacing w:before="0" w:after="283"/>
              <w:jc w:val="right"/>
              <w:rPr/>
            </w:pPr>
            <w:r>
              <w:rPr/>
              <w:t>20,000</w:t>
            </w:r>
          </w:p>
        </w:tc>
        <w:tc>
          <w:tcPr>
            <w:tcW w:w="65" w:type="dxa"/>
            <w:tcBorders/>
            <w:vAlign w:val="bottom"/>
          </w:tcPr>
          <w:p>
            <w:pPr>
              <w:pStyle w:val="TableContents"/>
              <w:bidi w:val="0"/>
              <w:spacing w:before="0" w:after="283"/>
              <w:jc w:val="left"/>
              <w:rPr>
                <w:sz w:val="4"/>
                <w:szCs w:val="4"/>
              </w:rPr>
            </w:pPr>
            <w:r>
              <w:rPr>
                <w:sz w:val="4"/>
                <w:szCs w:val="4"/>
              </w:rPr>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w:t>
            </w:r>
          </w:p>
        </w:tc>
        <w:tc>
          <w:tcPr>
            <w:tcW w:w="93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w:t>
            </w:r>
          </w:p>
        </w:tc>
        <w:tc>
          <w:tcPr>
            <w:tcW w:w="1798" w:type="dxa"/>
            <w:tcBorders/>
            <w:shd w:fill="CCEEFF" w:val="clear"/>
            <w:vAlign w:val="bottom"/>
          </w:tcPr>
          <w:p>
            <w:pPr>
              <w:pStyle w:val="TableContents"/>
              <w:bidi w:val="0"/>
              <w:spacing w:before="0" w:after="283"/>
              <w:jc w:val="right"/>
              <w:rPr/>
            </w:pPr>
            <w:r>
              <w:rPr/>
              <w:t>15,000</w:t>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w:t>
            </w:r>
          </w:p>
        </w:tc>
        <w:tc>
          <w:tcPr>
            <w:tcW w:w="93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w:t>
            </w:r>
          </w:p>
        </w:tc>
        <w:tc>
          <w:tcPr>
            <w:tcW w:w="1798" w:type="dxa"/>
            <w:tcBorders/>
            <w:vAlign w:val="bottom"/>
          </w:tcPr>
          <w:p>
            <w:pPr>
              <w:pStyle w:val="TableContents"/>
              <w:bidi w:val="0"/>
              <w:spacing w:before="0" w:after="283"/>
              <w:jc w:val="right"/>
              <w:rPr/>
            </w:pPr>
            <w:r>
              <w:rPr/>
              <w:t>10,000</w:t>
            </w:r>
          </w:p>
        </w:tc>
        <w:tc>
          <w:tcPr>
            <w:tcW w:w="65" w:type="dxa"/>
            <w:tcBorders/>
            <w:vAlign w:val="bottom"/>
          </w:tcPr>
          <w:p>
            <w:pPr>
              <w:pStyle w:val="TableContents"/>
              <w:bidi w:val="0"/>
              <w:spacing w:before="0" w:after="283"/>
              <w:jc w:val="left"/>
              <w:rPr>
                <w:sz w:val="4"/>
                <w:szCs w:val="4"/>
              </w:rPr>
            </w:pPr>
            <w:r>
              <w:rPr>
                <w:sz w:val="4"/>
                <w:szCs w:val="4"/>
              </w:rPr>
            </w:r>
          </w:p>
        </w:tc>
      </w:tr>
      <w:tr>
        <w:trPr/>
        <w:tc>
          <w:tcPr>
            <w:tcW w:w="44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Committee Members:</w:t>
            </w:r>
          </w:p>
        </w:tc>
        <w:tc>
          <w:tcPr>
            <w:tcW w:w="93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sz w:val="4"/>
                <w:szCs w:val="4"/>
              </w:rPr>
            </w:pPr>
            <w:r>
              <w:rPr>
                <w:sz w:val="4"/>
                <w:szCs w:val="4"/>
              </w:rPr>
            </w:r>
          </w:p>
        </w:tc>
        <w:tc>
          <w:tcPr>
            <w:tcW w:w="179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Audit</w:t>
            </w:r>
          </w:p>
        </w:tc>
        <w:tc>
          <w:tcPr>
            <w:tcW w:w="93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w:t>
            </w:r>
          </w:p>
        </w:tc>
        <w:tc>
          <w:tcPr>
            <w:tcW w:w="1798"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sz w:val="4"/>
                <w:szCs w:val="4"/>
              </w:rPr>
            </w:pPr>
            <w:r>
              <w:rPr>
                <w:sz w:val="4"/>
                <w:szCs w:val="4"/>
              </w:rPr>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w:t>
            </w:r>
          </w:p>
        </w:tc>
        <w:tc>
          <w:tcPr>
            <w:tcW w:w="93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w:t>
            </w:r>
          </w:p>
        </w:tc>
        <w:tc>
          <w:tcPr>
            <w:tcW w:w="1798" w:type="dxa"/>
            <w:tcBorders/>
            <w:shd w:fill="CCEEFF" w:val="clear"/>
            <w:vAlign w:val="bottom"/>
          </w:tcPr>
          <w:p>
            <w:pPr>
              <w:pStyle w:val="TableContents"/>
              <w:bidi w:val="0"/>
              <w:spacing w:before="0" w:after="283"/>
              <w:jc w:val="right"/>
              <w:rPr/>
            </w:pPr>
            <w:r>
              <w:rPr/>
              <w:t>0</w:t>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w:t>
            </w:r>
          </w:p>
        </w:tc>
        <w:tc>
          <w:tcPr>
            <w:tcW w:w="93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w:t>
            </w:r>
          </w:p>
        </w:tc>
        <w:tc>
          <w:tcPr>
            <w:tcW w:w="1798" w:type="dxa"/>
            <w:tcBorders/>
            <w:vAlign w:val="bottom"/>
          </w:tcPr>
          <w:p>
            <w:pPr>
              <w:pStyle w:val="TableContents"/>
              <w:bidi w:val="0"/>
              <w:spacing w:before="0" w:after="283"/>
              <w:jc w:val="right"/>
              <w:rPr/>
            </w:pPr>
            <w:r>
              <w:rPr/>
              <w:t>0</w:t>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407"/>
        <w:gridCol w:w="8984"/>
      </w:tblGrid>
      <w:tr>
        <w:trPr/>
        <w:tc>
          <w:tcPr>
            <w:tcW w:w="81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service from April 1, 2023 to March 31, 2024, non-employee directors could elect to receive annual retainers in cash or equity, or a mixture of 50% cash and 50% equity. Annual retainers paid in cash would be paid in equal quarterly installments, in arrears following the end of each quarter in which the service was performed. Equity grants made in respect of annual retainers could have been in the form of stock options or RSUs, or an equal mixture of stock options and RSUs, were granted as of the date of our 2023 annual meeting of stockholders, were valued based on the average price of our common stock over a 90-day period preceding the date of grant, and vested on March 31, 2024. If a non-employee director became a director after April 1, 2023, his or her annual retainers were pro-rated based on the period of the non-employee directors service on our board of directors during the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407"/>
        <w:gridCol w:w="8984"/>
      </w:tblGrid>
      <w:tr>
        <w:trPr/>
        <w:tc>
          <w:tcPr>
            <w:tcW w:w="81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service from April 1, 2023 to March 31, 2024, all of our non-employee directors elected to receive their annual retainers with respect to service on our board of directors or any of its committees in the form of RSUs. The average closing price of our common stock for the 90-day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23</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221"/>
        <w:gridCol w:w="8984"/>
      </w:tblGrid>
      <w:tr>
        <w:trPr/>
        <w:tc>
          <w:tcPr>
            <w:tcW w:w="1221" w:type="dxa"/>
            <w:tcBorders/>
            <w:vAlign w:val="center"/>
          </w:tcPr>
          <w:p>
            <w:pPr>
              <w:pStyle w:val="TableContents"/>
              <w:bidi w:val="0"/>
              <w:spacing w:before="0" w:after="283"/>
              <w:jc w:val="left"/>
              <w:rPr/>
            </w:pPr>
            <w:r>
              <w:rPr/>
              <w:t> </w:t>
            </w:r>
          </w:p>
        </w:tc>
        <w:tc>
          <w:tcPr>
            <w:tcW w:w="8984" w:type="dxa"/>
            <w:tcBorders/>
          </w:tcPr>
          <w:p>
            <w:pPr>
              <w:pStyle w:val="TableContents"/>
              <w:bidi w:val="0"/>
              <w:spacing w:before="0" w:after="283"/>
              <w:jc w:val="left"/>
              <w:rPr/>
            </w:pPr>
            <w:r>
              <w:rPr/>
              <w:t xml:space="preserve">period beginning on February 22, 2023 and ending on May 22, 2023 was $1.73. Based on this price, it was determined that each non-employee director was entitled to a grant of 23,099 RSUs. In addition, the Audit Committee Chair, Compensation Committee Chair, and Nominating and Corporate Governance Committee Chair were entitled to a grant of 11,549 RSUs, 8,662 RSUs, and 5,774 RSUs, respectively. </w:t>
            </w:r>
          </w:p>
        </w:tc>
      </w:tr>
    </w:tbl>
    <w:p>
      <w:pPr>
        <w:pStyle w:val="TextBody"/>
        <w:bidi w:val="0"/>
        <w:spacing w:before="120" w:after="0"/>
        <w:jc w:val="left"/>
        <w:rPr/>
      </w:pPr>
      <w:r>
        <w:rPr>
          <w:color w:val="305494"/>
        </w:rPr>
        <w:t>●</w:t>
      </w:r>
      <w:r>
        <w:rPr/>
        <w:t xml:space="preserve"> </w:t>
      </w:r>
      <w:r>
        <w:rPr>
          <w:rFonts w:ascii="Times New Roman" w:hAnsi="Times New Roman"/>
          <w:sz w:val="20"/>
          <w:u w:val="single"/>
        </w:rPr>
        <w:t>Equity Compensation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407"/>
        <w:gridCol w:w="8984"/>
      </w:tblGrid>
      <w:tr>
        <w:trPr/>
        <w:tc>
          <w:tcPr>
            <w:tcW w:w="81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appointment to our board of directors, each non-employee director is entitled to receive an initial stock option grant having a Black Scholes value of $187,500, determined as of the date of grant based on the average price of our common stock over a 90-day period preceding the date of grant, with 40% vesting on the two-year anniversary of the grant date and the remainder vesting ratably on each subsequent monthly anniversary of the grant date for 36 months, subject to such directors continuous service through each applicable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407"/>
        <w:gridCol w:w="8984"/>
      </w:tblGrid>
      <w:tr>
        <w:trPr/>
        <w:tc>
          <w:tcPr>
            <w:tcW w:w="81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appointment to our board of directors, each non-employee director is also entitled to receive an initial RSU grant valued at $187,500 as of the date of grant based on the average price of our common stock over a 90-day period preceding the date of grant, which will vest on the one-year anniversary of the grant date subject to such directors continuous service through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1"/>
        <w:gridCol w:w="406"/>
        <w:gridCol w:w="8988"/>
      </w:tblGrid>
      <w:tr>
        <w:trPr/>
        <w:tc>
          <w:tcPr>
            <w:tcW w:w="811"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w:t>
            </w:r>
          </w:p>
        </w:tc>
        <w:tc>
          <w:tcPr>
            <w:tcW w:w="89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January of 2023, each of Ms. Franchi, Drs. Kayyem, Strobeck and Watts, and Messrs. Massarany, Patience and Schuler received a grant of 62,500 RSUs, with a grant date value of $143,750, in respect of the portion of their annual RSU grant for 2022 that was not made because there were not sufficient shares available under the 2020 Incentive Plan to make such grants as of the date of the 2022 annual meeting of stockholders. The awards vested on March 31, 2023, at the time that all 2022 annual RSU awards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407"/>
        <w:gridCol w:w="8984"/>
      </w:tblGrid>
      <w:tr>
        <w:trPr/>
        <w:tc>
          <w:tcPr>
            <w:tcW w:w="81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service from April 1, 2023 to March 31, 2024, each non-employee director continuing his or her service on our board of directors following the annual meeting of stockholders was entitled to receive an annual RSU grant valued at $192,500 as of the date of the 2023 annual meeting of stockholders, based on the average price of our common stock over the preceding 90 days, which vested on March 31, 2024, subject to such directors continuous service through such date. The average closing price of our common stock for the 90-day period beginning on February 22, 2023 and ending on May 22, 2023 was $1.73. Based on this price, it was determined that each non-employee director was entitled to a grant of 111,164 RSUs, but there were not sufficient shares available under the 2020 Incentive Plan as of such date to make such grants. The board of directors therefore granted 5,774 RSUs to each non-employee director on May 23, 2023, with a grant date value of $6,756, and granted the remaining 105,389 RSUs to each non-employee director on January 1, 2024, with a grant date value of $193,916 after the number of shares of our common stock reserved for issuance under the 2020 Incentive Plan automatically increased in accordance with such plans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1"/>
        <w:gridCol w:w="406"/>
        <w:gridCol w:w="8988"/>
      </w:tblGrid>
      <w:tr>
        <w:trPr/>
        <w:tc>
          <w:tcPr>
            <w:tcW w:w="811"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w:t>
            </w:r>
          </w:p>
        </w:tc>
        <w:tc>
          <w:tcPr>
            <w:tcW w:w="89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vesting schedules described above, each non-employee director who remains in continuous service until a change of control (as defined in our 2020 Incentive Plan) will become fully vested in all then-outstanding equity awards. In addition, annual equity grants and equity grants in respect of annual retainers will vest on a prorated basis in the event a director resigns or otherwise experiences a termination of service other than for cause. </w:t>
            </w:r>
          </w:p>
        </w:tc>
      </w:tr>
    </w:tbl>
    <w:p>
      <w:pPr>
        <w:pStyle w:val="TextBody"/>
        <w:bidi w:val="0"/>
        <w:spacing w:before="120" w:after="0"/>
        <w:jc w:val="left"/>
        <w:rPr/>
      </w:pPr>
      <w:r>
        <w:rPr>
          <w:color w:val="305494"/>
        </w:rPr>
        <w:t>●</w:t>
      </w:r>
      <w:r>
        <w:rPr/>
        <w:t xml:space="preserve"> </w:t>
      </w:r>
      <w:r>
        <w:rPr>
          <w:rFonts w:ascii="Times New Roman" w:hAnsi="Times New Roman"/>
          <w:sz w:val="20"/>
          <w:u w:val="single"/>
        </w:rPr>
        <w:t>Expense Reimbursement</w:t>
      </w:r>
      <w:r>
        <w:rPr>
          <w:rFonts w:ascii="Times New Roman" w:hAnsi="Times New Roman"/>
          <w:sz w:val="20"/>
        </w:rPr>
        <w:t xml:space="preserve">: Our non-employee directors are also reimbursed for their reasonable out-of-pocket travel expenses to cover in-person attendance at and participation in board and committee meetings. </w:t>
      </w:r>
    </w:p>
    <w:p>
      <w:pPr>
        <w:pStyle w:val="TextBody"/>
        <w:bidi w:val="0"/>
        <w:spacing w:before="240" w:after="0"/>
        <w:jc w:val="left"/>
        <w:rPr>
          <w:rFonts w:ascii="Times New Roman" w:hAnsi="Times New Roman"/>
          <w:sz w:val="20"/>
        </w:rPr>
      </w:pPr>
      <w:r>
        <w:rPr>
          <w:rFonts w:ascii="Times New Roman" w:hAnsi="Times New Roman"/>
          <w:sz w:val="20"/>
        </w:rPr>
        <w:t xml:space="preserve">The non-employee director compensation policy was further amended effective as of April 1, 2024 to provide that non-employee directors may elect to receive annual retainers in cash or RSUs, or a mixture of cash and RSUs. In addition, initial equity grants to be made after the effective date and annual equity grants to be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24</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made as of the date of the 2024 annual meeting of stockholders will be a mixture of stock options and RSUs, and the number of shares subject to the stock options and RSUs will be limited by a maximum percentage of our outstanding common stock. </w:t>
      </w:r>
    </w:p>
    <w:p>
      <w:pPr>
        <w:pStyle w:val="TextBody"/>
        <w:bidi w:val="0"/>
        <w:spacing w:before="240" w:after="0"/>
        <w:jc w:val="left"/>
        <w:rPr>
          <w:rFonts w:ascii="Times New Roman" w:hAnsi="Times New Roman"/>
          <w:color w:val="305494"/>
          <w:sz w:val="28"/>
        </w:rPr>
      </w:pPr>
      <w:bookmarkStart w:id="29" w:name="toc674951_27"/>
      <w:bookmarkEnd w:id="29"/>
      <w:r>
        <w:rPr>
          <w:rFonts w:ascii="Times New Roman" w:hAnsi="Times New Roman"/>
          <w:color w:val="305494"/>
          <w:sz w:val="28"/>
        </w:rPr>
        <w:t xml:space="preserve">Director Deferred Compensation Plan </w:t>
      </w:r>
    </w:p>
    <w:p>
      <w:pPr>
        <w:pStyle w:val="TextBody"/>
        <w:bidi w:val="0"/>
        <w:spacing w:before="120" w:after="0"/>
        <w:jc w:val="left"/>
        <w:rPr>
          <w:rFonts w:ascii="Times New Roman" w:hAnsi="Times New Roman"/>
          <w:sz w:val="20"/>
        </w:rPr>
      </w:pPr>
      <w:r>
        <w:rPr>
          <w:rFonts w:ascii="Times New Roman" w:hAnsi="Times New Roman"/>
          <w:sz w:val="20"/>
        </w:rPr>
        <w:t xml:space="preserve">On December 21, 2021, our compensation committee adopted the 2021 Non-Employee Director Deferred Compensation Plan (the Director Deferred Compensation Plan), an unfunded, non-qualified deferred compensation plan that allows our non-employee directors to defer RSU awards that they receive. </w:t>
      </w:r>
    </w:p>
    <w:p>
      <w:pPr>
        <w:pStyle w:val="TextBody"/>
        <w:bidi w:val="0"/>
        <w:spacing w:before="120" w:after="0"/>
        <w:jc w:val="left"/>
        <w:rPr>
          <w:rFonts w:ascii="Times New Roman" w:hAnsi="Times New Roman"/>
          <w:sz w:val="20"/>
        </w:rPr>
      </w:pPr>
      <w:r>
        <w:rPr>
          <w:rFonts w:ascii="Times New Roman" w:hAnsi="Times New Roman"/>
          <w:sz w:val="20"/>
        </w:rPr>
        <w:t xml:space="preserve">Any RSU deferred will be credited as deferred units to the non-employee directors account as of the date on which it vests. Each deferred unit is credited with dividend equivalents equal to the dividends paid, if any, on our common stock, which are deemed reinvested in additional deferred units on the dividend payment date. Deferred units will be appropriately adjusted in the event of any change in our common stock through merger, consolidation, or otherwise; a stock dividend; or a stock split, combination or other change in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Payments will be made in shares of our common stock equal to the number of deferred units credited to the directors account, with a cash payment for any fractional deferred unit. A director may elect to receive deferred amounts in a lump sum within 90 days after either his or her separation from service or, alternatively the later of his or her separation from service or January 1 of a calendar year elected by the director which may not be more than 15 years after the calendar year in which the directors initial deferral election under the Director Deferred Compensation Plan was made. Within 90 days following a non-employee directors death, a lump sum equal to the then-remaining balance in his or her account will be made to his or her beneficiary. Within 10 business days after a change in control (as defined in our 2020 Incentive Plan) and to the extent permitted by federal tax law, each non-employee director (or former non-employee director) will receive a cash lump sum payment equal to the number of deferred units credited to his or her account on the date of the change in control, multiplied by the fair market value of one share of our common stock on such date. If payment within 10 business days following a change in control is not permitted by federal tax laws, then payment will be made at the time and in the form that payment would have been made if a change in control had not occurred. </w:t>
      </w:r>
    </w:p>
    <w:p>
      <w:pPr>
        <w:pStyle w:val="TextBody"/>
        <w:bidi w:val="0"/>
        <w:spacing w:before="120" w:after="0"/>
        <w:jc w:val="left"/>
        <w:rPr>
          <w:rFonts w:ascii="Times New Roman" w:hAnsi="Times New Roman"/>
          <w:color w:val="305494"/>
          <w:sz w:val="28"/>
        </w:rPr>
      </w:pPr>
      <w:bookmarkStart w:id="30" w:name="toc674951_28"/>
      <w:bookmarkEnd w:id="30"/>
      <w:r>
        <w:rPr>
          <w:rFonts w:ascii="Times New Roman" w:hAnsi="Times New Roman"/>
          <w:color w:val="305494"/>
          <w:sz w:val="28"/>
        </w:rPr>
        <w:t xml:space="preserve">2023 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for the fiscal year ended December 31, 2023 regarding the compensation awarded to, earned by or paid to our non-employee directors. The compensation received by our non-employee directors in respect of annual retainers and annual equity grants for 2023 service was in the form of RSU awards. Each of Messrs. Schuler and Patience, and Drs. Kayyem and Watts received grants for a total of 96,251 RSUs. Dr. Strobeck received grants for a total of 103,244 RSUs. Mr. Massarany received grants for a total of 106,742 RSUs. Ms. Franchi received grants for a total of 110,239 RSUs. Mr. Kennedy received an initial stock option grant in respect of 124,998 shares of our common stock and an initial grant of 91,463 RSUs for his appointment to the board of directors on January 3, 2023. In addition, Mr. Kennedy received grants for a total of 56,281 RSUs throughout 2023. Mr. Hutton, our Chief Executive Officer, does not receive any separate compensation for his service on our board of directors.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43"/>
        <w:gridCol w:w="330"/>
        <w:gridCol w:w="141"/>
        <w:gridCol w:w="872"/>
        <w:gridCol w:w="60"/>
        <w:gridCol w:w="330"/>
        <w:gridCol w:w="141"/>
        <w:gridCol w:w="872"/>
        <w:gridCol w:w="60"/>
        <w:gridCol w:w="330"/>
        <w:gridCol w:w="141"/>
        <w:gridCol w:w="872"/>
        <w:gridCol w:w="63"/>
      </w:tblGrid>
      <w:tr>
        <w:trPr/>
        <w:tc>
          <w:tcPr>
            <w:tcW w:w="3543"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543"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w:t>
              <w:br/>
              <w:t>Awards</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3" w:type="dxa"/>
            <w:tcBorders/>
            <w:vAlign w:val="bottom"/>
          </w:tcPr>
          <w:p>
            <w:pPr>
              <w:pStyle w:val="TableContents"/>
              <w:bidi w:val="0"/>
              <w:spacing w:before="0" w:after="283"/>
              <w:jc w:val="left"/>
              <w:rPr/>
            </w:pPr>
            <w:r>
              <w:rPr/>
              <w:t> </w:t>
            </w:r>
          </w:p>
        </w:tc>
      </w:tr>
      <w:tr>
        <w:trPr/>
        <w:tc>
          <w:tcPr>
            <w:tcW w:w="3543" w:type="dxa"/>
            <w:tcBorders/>
            <w:vAlign w:val="bottom"/>
          </w:tcPr>
          <w:p>
            <w:pPr>
              <w:pStyle w:val="TableContents"/>
              <w:bidi w:val="0"/>
              <w:spacing w:before="0" w:after="283"/>
              <w:jc w:val="left"/>
              <w:rPr>
                <w:b/>
              </w:rPr>
            </w:pPr>
            <w:r>
              <w:rPr>
                <w:b/>
              </w:rPr>
              <w:t>Name</w:t>
            </w:r>
          </w:p>
        </w:tc>
        <w:tc>
          <w:tcPr>
            <w:tcW w:w="330"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3" w:type="dxa"/>
            <w:tcBorders/>
            <w:vAlign w:val="bottom"/>
          </w:tcPr>
          <w:p>
            <w:pPr>
              <w:pStyle w:val="TableContents"/>
              <w:bidi w:val="0"/>
              <w:spacing w:before="0" w:after="283"/>
              <w:jc w:val="left"/>
              <w:rPr/>
            </w:pPr>
            <w:r>
              <w:rPr/>
              <w:t> </w:t>
            </w:r>
          </w:p>
        </w:tc>
      </w:tr>
      <w:tr>
        <w:trPr/>
        <w:tc>
          <w:tcPr>
            <w:tcW w:w="3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Jean Franchi(3)</w:t>
            </w:r>
          </w:p>
        </w:tc>
        <w:tc>
          <w:tcPr>
            <w:tcW w:w="33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72" w:type="dxa"/>
            <w:tcBorders/>
            <w:shd w:fill="CCEEFF" w:val="clear"/>
            <w:vAlign w:val="bottom"/>
          </w:tcPr>
          <w:p>
            <w:pPr>
              <w:pStyle w:val="TableContents"/>
              <w:bidi w:val="0"/>
              <w:spacing w:before="0" w:after="283"/>
              <w:jc w:val="right"/>
              <w:rPr/>
            </w:pPr>
            <w:r>
              <w:rPr/>
              <w:t>206,104</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72" w:type="dxa"/>
            <w:tcBorders/>
            <w:shd w:fill="CCEEFF" w:val="clear"/>
            <w:vAlign w:val="bottom"/>
          </w:tcPr>
          <w:p>
            <w:pPr>
              <w:pStyle w:val="TableContents"/>
              <w:bidi w:val="0"/>
              <w:spacing w:before="0" w:after="283"/>
              <w:jc w:val="right"/>
              <w:rPr/>
            </w:pPr>
            <w:r>
              <w:rPr/>
              <w:t>206,104</w:t>
            </w:r>
          </w:p>
        </w:tc>
        <w:tc>
          <w:tcPr>
            <w:tcW w:w="63" w:type="dxa"/>
            <w:tcBorders/>
            <w:shd w:fill="CCEEFF" w:val="clear"/>
            <w:vAlign w:val="bottom"/>
          </w:tcPr>
          <w:p>
            <w:pPr>
              <w:pStyle w:val="TableContents"/>
              <w:bidi w:val="0"/>
              <w:spacing w:before="0" w:after="283"/>
              <w:jc w:val="left"/>
              <w:rPr/>
            </w:pPr>
            <w:r>
              <w:rPr/>
              <w:t> </w:t>
            </w:r>
          </w:p>
        </w:tc>
      </w:tr>
      <w:tr>
        <w:trPr/>
        <w:tc>
          <w:tcPr>
            <w:tcW w:w="3543" w:type="dxa"/>
            <w:tcBorders/>
          </w:tcPr>
          <w:p>
            <w:pPr>
              <w:pStyle w:val="TableContents"/>
              <w:bidi w:val="0"/>
              <w:spacing w:before="0" w:after="0"/>
              <w:jc w:val="left"/>
              <w:rPr>
                <w:rFonts w:ascii="Times New Roman" w:hAnsi="Times New Roman"/>
                <w:sz w:val="20"/>
              </w:rPr>
            </w:pPr>
            <w:r>
              <w:rPr>
                <w:rFonts w:ascii="Times New Roman" w:hAnsi="Times New Roman"/>
                <w:sz w:val="20"/>
              </w:rPr>
              <w:t>Jon Faiz Kayyem, Ph.D(3)</w:t>
            </w:r>
          </w:p>
        </w:tc>
        <w:tc>
          <w:tcPr>
            <w:tcW w:w="33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72" w:type="dxa"/>
            <w:tcBorders/>
            <w:vAlign w:val="bottom"/>
          </w:tcPr>
          <w:p>
            <w:pPr>
              <w:pStyle w:val="TableContents"/>
              <w:bidi w:val="0"/>
              <w:spacing w:before="0" w:after="283"/>
              <w:jc w:val="right"/>
              <w:rPr/>
            </w:pPr>
            <w:r>
              <w:rPr/>
              <w:t>187,575</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72" w:type="dxa"/>
            <w:tcBorders/>
            <w:vAlign w:val="bottom"/>
          </w:tcPr>
          <w:p>
            <w:pPr>
              <w:pStyle w:val="TableContents"/>
              <w:bidi w:val="0"/>
              <w:spacing w:before="0" w:after="283"/>
              <w:jc w:val="right"/>
              <w:rPr/>
            </w:pPr>
            <w:r>
              <w:rPr/>
              <w:t>187,575</w:t>
            </w:r>
          </w:p>
        </w:tc>
        <w:tc>
          <w:tcPr>
            <w:tcW w:w="63" w:type="dxa"/>
            <w:tcBorders/>
            <w:vAlign w:val="bottom"/>
          </w:tcPr>
          <w:p>
            <w:pPr>
              <w:pStyle w:val="TableContents"/>
              <w:bidi w:val="0"/>
              <w:spacing w:before="0" w:after="283"/>
              <w:jc w:val="left"/>
              <w:rPr/>
            </w:pPr>
            <w:r>
              <w:rPr/>
              <w:t> </w:t>
            </w:r>
          </w:p>
        </w:tc>
      </w:tr>
      <w:tr>
        <w:trPr/>
        <w:tc>
          <w:tcPr>
            <w:tcW w:w="3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Hany Massarany(3)</w:t>
            </w:r>
          </w:p>
        </w:tc>
        <w:tc>
          <w:tcPr>
            <w:tcW w:w="33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72" w:type="dxa"/>
            <w:tcBorders/>
            <w:shd w:fill="CCEEFF" w:val="clear"/>
            <w:vAlign w:val="bottom"/>
          </w:tcPr>
          <w:p>
            <w:pPr>
              <w:pStyle w:val="TableContents"/>
              <w:bidi w:val="0"/>
              <w:spacing w:before="0" w:after="283"/>
              <w:jc w:val="right"/>
              <w:rPr/>
            </w:pPr>
            <w:r>
              <w:rPr/>
              <w:t>201,472</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72" w:type="dxa"/>
            <w:tcBorders/>
            <w:shd w:fill="CCEEFF" w:val="clear"/>
            <w:vAlign w:val="bottom"/>
          </w:tcPr>
          <w:p>
            <w:pPr>
              <w:pStyle w:val="TableContents"/>
              <w:bidi w:val="0"/>
              <w:spacing w:before="0" w:after="283"/>
              <w:jc w:val="right"/>
              <w:rPr/>
            </w:pPr>
            <w:r>
              <w:rPr/>
              <w:t>201,472</w:t>
            </w:r>
          </w:p>
        </w:tc>
        <w:tc>
          <w:tcPr>
            <w:tcW w:w="63" w:type="dxa"/>
            <w:tcBorders/>
            <w:shd w:fill="CCEEFF" w:val="clear"/>
            <w:vAlign w:val="bottom"/>
          </w:tcPr>
          <w:p>
            <w:pPr>
              <w:pStyle w:val="TableContents"/>
              <w:bidi w:val="0"/>
              <w:spacing w:before="0" w:after="283"/>
              <w:jc w:val="left"/>
              <w:rPr/>
            </w:pPr>
            <w:r>
              <w:rPr/>
              <w:t> </w:t>
            </w:r>
          </w:p>
        </w:tc>
      </w:tr>
      <w:tr>
        <w:trPr/>
        <w:tc>
          <w:tcPr>
            <w:tcW w:w="3543" w:type="dxa"/>
            <w:tcBorders/>
          </w:tcPr>
          <w:p>
            <w:pPr>
              <w:pStyle w:val="TableContents"/>
              <w:bidi w:val="0"/>
              <w:spacing w:before="0" w:after="0"/>
              <w:jc w:val="left"/>
              <w:rPr>
                <w:rFonts w:ascii="Times New Roman" w:hAnsi="Times New Roman"/>
                <w:sz w:val="20"/>
              </w:rPr>
            </w:pPr>
            <w:r>
              <w:rPr>
                <w:rFonts w:ascii="Times New Roman" w:hAnsi="Times New Roman"/>
                <w:sz w:val="20"/>
              </w:rPr>
              <w:t>John Patience(3)</w:t>
            </w:r>
          </w:p>
        </w:tc>
        <w:tc>
          <w:tcPr>
            <w:tcW w:w="33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72" w:type="dxa"/>
            <w:tcBorders/>
            <w:vAlign w:val="bottom"/>
          </w:tcPr>
          <w:p>
            <w:pPr>
              <w:pStyle w:val="TableContents"/>
              <w:bidi w:val="0"/>
              <w:spacing w:before="0" w:after="283"/>
              <w:jc w:val="right"/>
              <w:rPr/>
            </w:pPr>
            <w:r>
              <w:rPr/>
              <w:t>187,575</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72" w:type="dxa"/>
            <w:tcBorders/>
            <w:vAlign w:val="bottom"/>
          </w:tcPr>
          <w:p>
            <w:pPr>
              <w:pStyle w:val="TableContents"/>
              <w:bidi w:val="0"/>
              <w:spacing w:before="0" w:after="283"/>
              <w:jc w:val="right"/>
              <w:rPr/>
            </w:pPr>
            <w:r>
              <w:rPr/>
              <w:t>187,575</w:t>
            </w:r>
          </w:p>
        </w:tc>
        <w:tc>
          <w:tcPr>
            <w:tcW w:w="63" w:type="dxa"/>
            <w:tcBorders/>
            <w:vAlign w:val="bottom"/>
          </w:tcPr>
          <w:p>
            <w:pPr>
              <w:pStyle w:val="TableContents"/>
              <w:bidi w:val="0"/>
              <w:spacing w:before="0" w:after="283"/>
              <w:jc w:val="left"/>
              <w:rPr/>
            </w:pPr>
            <w:r>
              <w:rPr/>
              <w:t> </w:t>
            </w:r>
          </w:p>
        </w:tc>
      </w:tr>
      <w:tr>
        <w:trPr/>
        <w:tc>
          <w:tcPr>
            <w:tcW w:w="3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Jack Schuler(3)</w:t>
            </w:r>
          </w:p>
        </w:tc>
        <w:tc>
          <w:tcPr>
            <w:tcW w:w="33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72" w:type="dxa"/>
            <w:tcBorders/>
            <w:shd w:fill="CCEEFF" w:val="clear"/>
            <w:vAlign w:val="bottom"/>
          </w:tcPr>
          <w:p>
            <w:pPr>
              <w:pStyle w:val="TableContents"/>
              <w:bidi w:val="0"/>
              <w:spacing w:before="0" w:after="283"/>
              <w:jc w:val="right"/>
              <w:rPr/>
            </w:pPr>
            <w:r>
              <w:rPr/>
              <w:t>187,575</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72" w:type="dxa"/>
            <w:tcBorders/>
            <w:shd w:fill="CCEEFF" w:val="clear"/>
            <w:vAlign w:val="bottom"/>
          </w:tcPr>
          <w:p>
            <w:pPr>
              <w:pStyle w:val="TableContents"/>
              <w:bidi w:val="0"/>
              <w:spacing w:before="0" w:after="283"/>
              <w:jc w:val="right"/>
              <w:rPr/>
            </w:pPr>
            <w:r>
              <w:rPr/>
              <w:t>187,575</w:t>
            </w:r>
          </w:p>
        </w:tc>
        <w:tc>
          <w:tcPr>
            <w:tcW w:w="63" w:type="dxa"/>
            <w:tcBorders/>
            <w:shd w:fill="CCEEFF" w:val="clear"/>
            <w:vAlign w:val="bottom"/>
          </w:tcPr>
          <w:p>
            <w:pPr>
              <w:pStyle w:val="TableContents"/>
              <w:bidi w:val="0"/>
              <w:spacing w:before="0" w:after="283"/>
              <w:jc w:val="left"/>
              <w:rPr/>
            </w:pPr>
            <w:r>
              <w:rPr/>
              <w:t> </w:t>
            </w:r>
          </w:p>
        </w:tc>
      </w:tr>
      <w:tr>
        <w:trPr/>
        <w:tc>
          <w:tcPr>
            <w:tcW w:w="3543" w:type="dxa"/>
            <w:tcBorders/>
          </w:tcPr>
          <w:p>
            <w:pPr>
              <w:pStyle w:val="TableContents"/>
              <w:bidi w:val="0"/>
              <w:spacing w:before="0" w:after="0"/>
              <w:jc w:val="left"/>
              <w:rPr>
                <w:rFonts w:ascii="Times New Roman" w:hAnsi="Times New Roman"/>
                <w:sz w:val="20"/>
              </w:rPr>
            </w:pPr>
            <w:r>
              <w:rPr>
                <w:rFonts w:ascii="Times New Roman" w:hAnsi="Times New Roman"/>
                <w:sz w:val="20"/>
              </w:rPr>
              <w:t>Matthew Strobeck, Ph.D(3)</w:t>
            </w:r>
          </w:p>
        </w:tc>
        <w:tc>
          <w:tcPr>
            <w:tcW w:w="33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72" w:type="dxa"/>
            <w:tcBorders/>
            <w:vAlign w:val="bottom"/>
          </w:tcPr>
          <w:p>
            <w:pPr>
              <w:pStyle w:val="TableContents"/>
              <w:bidi w:val="0"/>
              <w:spacing w:before="0" w:after="283"/>
              <w:jc w:val="right"/>
              <w:rPr/>
            </w:pPr>
            <w:r>
              <w:rPr/>
              <w:t>196,838</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72" w:type="dxa"/>
            <w:tcBorders/>
            <w:vAlign w:val="bottom"/>
          </w:tcPr>
          <w:p>
            <w:pPr>
              <w:pStyle w:val="TableContents"/>
              <w:bidi w:val="0"/>
              <w:spacing w:before="0" w:after="283"/>
              <w:jc w:val="right"/>
              <w:rPr/>
            </w:pPr>
            <w:r>
              <w:rPr/>
              <w:t>196,838</w:t>
            </w:r>
          </w:p>
        </w:tc>
        <w:tc>
          <w:tcPr>
            <w:tcW w:w="63" w:type="dxa"/>
            <w:tcBorders/>
            <w:vAlign w:val="bottom"/>
          </w:tcPr>
          <w:p>
            <w:pPr>
              <w:pStyle w:val="TableContents"/>
              <w:bidi w:val="0"/>
              <w:spacing w:before="0" w:after="283"/>
              <w:jc w:val="left"/>
              <w:rPr/>
            </w:pPr>
            <w:r>
              <w:rPr/>
              <w:t> </w:t>
            </w:r>
          </w:p>
        </w:tc>
      </w:tr>
      <w:tr>
        <w:trPr/>
        <w:tc>
          <w:tcPr>
            <w:tcW w:w="3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Charles M. Watts, M.D(3)</w:t>
            </w:r>
          </w:p>
        </w:tc>
        <w:tc>
          <w:tcPr>
            <w:tcW w:w="33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72" w:type="dxa"/>
            <w:tcBorders/>
            <w:shd w:fill="CCEEFF" w:val="clear"/>
            <w:vAlign w:val="bottom"/>
          </w:tcPr>
          <w:p>
            <w:pPr>
              <w:pStyle w:val="TableContents"/>
              <w:bidi w:val="0"/>
              <w:spacing w:before="0" w:after="283"/>
              <w:jc w:val="right"/>
              <w:rPr/>
            </w:pPr>
            <w:r>
              <w:rPr/>
              <w:t>187,575</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72" w:type="dxa"/>
            <w:tcBorders/>
            <w:shd w:fill="CCEEFF" w:val="clear"/>
            <w:vAlign w:val="bottom"/>
          </w:tcPr>
          <w:p>
            <w:pPr>
              <w:pStyle w:val="TableContents"/>
              <w:bidi w:val="0"/>
              <w:spacing w:before="0" w:after="283"/>
              <w:jc w:val="right"/>
              <w:rPr/>
            </w:pPr>
            <w:r>
              <w:rPr/>
              <w:t>187,575</w:t>
            </w:r>
          </w:p>
        </w:tc>
        <w:tc>
          <w:tcPr>
            <w:tcW w:w="63" w:type="dxa"/>
            <w:tcBorders/>
            <w:shd w:fill="CCEEFF" w:val="clear"/>
            <w:vAlign w:val="bottom"/>
          </w:tcPr>
          <w:p>
            <w:pPr>
              <w:pStyle w:val="TableContents"/>
              <w:bidi w:val="0"/>
              <w:spacing w:before="0" w:after="283"/>
              <w:jc w:val="left"/>
              <w:rPr/>
            </w:pPr>
            <w:r>
              <w:rPr/>
              <w:t> </w:t>
            </w:r>
          </w:p>
        </w:tc>
      </w:tr>
      <w:tr>
        <w:trPr/>
        <w:tc>
          <w:tcPr>
            <w:tcW w:w="3543" w:type="dxa"/>
            <w:tcBorders/>
          </w:tcPr>
          <w:p>
            <w:pPr>
              <w:pStyle w:val="TableContents"/>
              <w:bidi w:val="0"/>
              <w:spacing w:before="0" w:after="0"/>
              <w:jc w:val="left"/>
              <w:rPr>
                <w:rFonts w:ascii="Times New Roman" w:hAnsi="Times New Roman"/>
                <w:sz w:val="20"/>
              </w:rPr>
            </w:pPr>
            <w:r>
              <w:rPr>
                <w:rFonts w:ascii="Times New Roman" w:hAnsi="Times New Roman"/>
                <w:sz w:val="20"/>
              </w:rPr>
              <w:t>Lawrence Kennedy(3)(4)</w:t>
            </w:r>
          </w:p>
        </w:tc>
        <w:tc>
          <w:tcPr>
            <w:tcW w:w="33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72" w:type="dxa"/>
            <w:tcBorders/>
            <w:vAlign w:val="bottom"/>
          </w:tcPr>
          <w:p>
            <w:pPr>
              <w:pStyle w:val="TableContents"/>
              <w:bidi w:val="0"/>
              <w:spacing w:before="0" w:after="283"/>
              <w:jc w:val="right"/>
              <w:rPr/>
            </w:pPr>
            <w:r>
              <w:rPr/>
              <w:t>277,510</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72" w:type="dxa"/>
            <w:tcBorders/>
            <w:vAlign w:val="bottom"/>
          </w:tcPr>
          <w:p>
            <w:pPr>
              <w:pStyle w:val="TableContents"/>
              <w:bidi w:val="0"/>
              <w:spacing w:before="0" w:after="283"/>
              <w:jc w:val="right"/>
              <w:rPr/>
            </w:pPr>
            <w:r>
              <w:rPr/>
              <w:t>187,589</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72" w:type="dxa"/>
            <w:tcBorders/>
            <w:vAlign w:val="bottom"/>
          </w:tcPr>
          <w:p>
            <w:pPr>
              <w:pStyle w:val="TableContents"/>
              <w:bidi w:val="0"/>
              <w:spacing w:before="0" w:after="283"/>
              <w:jc w:val="right"/>
              <w:rPr/>
            </w:pPr>
            <w:r>
              <w:rPr/>
              <w:t>465,099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25</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pPr>
      <w:r>
        <w:rPr/>
        <w:t>     </w:t>
      </w:r>
      <w:r>
        <w:rPr>
          <w:u w:val="single"/>
        </w:rPr>
        <w:t>    </w:t>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9392"/>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aggregate grant date fair market value of the RSUs, calculated in accordance with FASB ASC Topic 718 based on the assumption that the value of each RSU granted on January 1, 2023, January 3, 2023, and May 23, 2023 was equal to $2.30, $2.05, and $1.17, respectively, with such amount being the closing price of our common stock on the grant date. The assumptions used in calculating the grant date fair value of the award disclosed in this column are set forth in Note 12 of our audited financial statements included in the 2023 Annual Report on Form 10-K Item 8. Financial Statements and Supplementary Data for the year ended December 31, 2023. Pursuant to the Director Deferred Compensation Plan, non-employee directors may choose to defer receipt of the shares to be issued in connection with settlement of the annual RSU award. Dr. Kayyem chose to defer receipt of 33,751 shares upon their vesting. Mr. Massarany chose to defer receipt of 44,242 shares upon their vesting. Messrs. Schuler and Patience chose to defer receipt of 96,251 shares upon their vesting. Dr. Strobeck chose to defer receipt of 103,244 shares upon their vesting. Mr. Massarany chose to defer receipt of 37,535 shares upon their vesting. Ms. Franchi chose to defer receipt of 110,239 upon their vesting. Mr. Kennedy chose to defer receipt of 147,744 shares upon their vesting. </w:t>
            </w:r>
          </w:p>
        </w:tc>
      </w:tr>
    </w:tbl>
    <w:tbl>
      <w:tblPr>
        <w:tblW w:w="5000" w:type="pct"/>
        <w:jc w:val="left"/>
        <w:tblInd w:w="0" w:type="dxa"/>
        <w:tblLayout w:type="fixed"/>
        <w:tblCellMar>
          <w:top w:w="0" w:type="dxa"/>
          <w:left w:w="0" w:type="dxa"/>
          <w:bottom w:w="0" w:type="dxa"/>
          <w:right w:w="0" w:type="dxa"/>
        </w:tblCellMar>
      </w:tblPr>
      <w:tblGrid>
        <w:gridCol w:w="406"/>
        <w:gridCol w:w="407"/>
        <w:gridCol w:w="9392"/>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aggregate grant date fair market value of the stock options calculated in accordance with FASB ASC Topic 718. The assumptions used in calculating the grant date fair value of the award disclosed in this column are set forth in Note 12 of our audited financial statements included in the 2023 Form 10-K Report under Item 8. Financial Statements and Supplementary Data for the year ended December 31, 2023. These amounts do not correspond to the actual value that may be recognized by the non-employee directors upon exercise of the applicable awards. </w:t>
            </w:r>
          </w:p>
        </w:tc>
      </w:tr>
    </w:tbl>
    <w:tbl>
      <w:tblPr>
        <w:tblW w:w="5000" w:type="pct"/>
        <w:jc w:val="left"/>
        <w:tblInd w:w="0" w:type="dxa"/>
        <w:tblLayout w:type="fixed"/>
        <w:tblCellMar>
          <w:top w:w="0" w:type="dxa"/>
          <w:left w:w="0" w:type="dxa"/>
          <w:bottom w:w="0" w:type="dxa"/>
          <w:right w:w="0" w:type="dxa"/>
        </w:tblCellMar>
      </w:tblPr>
      <w:tblGrid>
        <w:gridCol w:w="407"/>
        <w:gridCol w:w="408"/>
        <w:gridCol w:w="93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Ms. Franchi held options to purchase 29,363 shares of our common stock and RSUs in respect of 219,940 shares of our common stock; Dr. Kayyem held options to purchase 77,406 shares of our common stock and RSUs in respect of 33,751 shares of our common stock; Mr. Massarany held options to purchase 60,946 shares of our common stock and RSUs in respect of 70,610 shares of our common stock; Mr. Patience held options to purchase 46,102 shares of our common stock and RSUs in respect of 179,584 shares of our common stock; Mr. Schuler held options to purchase 46,102 shares of our common stock and RSUs in respect of 179,584 shares of our common stock; Dr. Strobeck held options to purchase 11,717 shares of our common stock and RSUs in respect of 186,577 shares of our common stock; Dr. Watts held options to purchase 95,910 shares of our common stock and RSUs in respect of 55,241 shares of our common stock; and Mr. Kennedy held options to purchase 124,998 shares of our common stock and RSUs in respect of 147,744 shares of our common stock. </w:t>
            </w:r>
          </w:p>
        </w:tc>
      </w:tr>
    </w:tbl>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his appointment to the Board of Directors on January 3, 2023, Mr. Kennedy received an initial equity grant in the form of stock options and RSUs. In addition, Mr. Kennedy received a prorated annual equity award in the form of RSUs.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26</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color w:val="305494"/>
          <w:sz w:val="32"/>
        </w:rPr>
      </w:pPr>
      <w:bookmarkStart w:id="31" w:name="toc674951_29"/>
      <w:bookmarkEnd w:id="31"/>
      <w:r>
        <w:rPr>
          <w:rFonts w:ascii="Times New Roman" w:hAnsi="Times New Roman"/>
          <w:b/>
          <w:color w:val="305494"/>
          <w:sz w:val="32"/>
        </w:rPr>
        <w:t xml:space="preserve">EXECUTIVE COMPENSATION </w:t>
      </w:r>
    </w:p>
    <w:p>
      <w:pPr>
        <w:pStyle w:val="TextBody"/>
        <w:bidi w:val="0"/>
        <w:spacing w:before="360" w:after="0"/>
        <w:jc w:val="left"/>
        <w:rPr>
          <w:rFonts w:ascii="Times New Roman" w:hAnsi="Times New Roman"/>
          <w:sz w:val="20"/>
        </w:rPr>
      </w:pPr>
      <w:r>
        <w:rPr>
          <w:rFonts w:ascii="Times New Roman" w:hAnsi="Times New Roman"/>
          <w:sz w:val="20"/>
        </w:rPr>
        <w:t xml:space="preserve">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back disclosure requirements applicable to emerging growth companies. In addition, as an emerging growth company, we are not required to conduct votes seeking approval, on an advisory basis, of either the compensation of our named executive officers or the frequency with which such votes must be conducted. </w:t>
      </w:r>
    </w:p>
    <w:p>
      <w:pPr>
        <w:pStyle w:val="TextBody"/>
        <w:bidi w:val="0"/>
        <w:spacing w:before="360" w:after="0"/>
        <w:jc w:val="left"/>
        <w:rPr>
          <w:rFonts w:ascii="Times New Roman" w:hAnsi="Times New Roman"/>
          <w:color w:val="305494"/>
          <w:sz w:val="28"/>
        </w:rPr>
      </w:pPr>
      <w:bookmarkStart w:id="32" w:name="toc674951_30"/>
      <w:bookmarkEnd w:id="32"/>
      <w:r>
        <w:rPr>
          <w:rFonts w:ascii="Times New Roman" w:hAnsi="Times New Roman"/>
          <w:color w:val="305494"/>
          <w:sz w:val="28"/>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This section provides a discussion of the compensation paid or awarded to our Chief Executive Officer and our two other most highly compensated executive officers as of December 31, 2023. We refer to these individuals as our named executive officers. For 2023, our named executive officers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408"/>
        <w:gridCol w:w="101"/>
        <w:gridCol w:w="9187"/>
      </w:tblGrid>
      <w:tr>
        <w:trPr/>
        <w:tc>
          <w:tcPr>
            <w:tcW w:w="509"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Scott Hutton, President and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407"/>
        <w:gridCol w:w="101"/>
        <w:gridCol w:w="9187"/>
      </w:tblGrid>
      <w:tr>
        <w:trPr/>
        <w:tc>
          <w:tcPr>
            <w:tcW w:w="510"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Robin Harper Cowie, Chief Financial Officer, Secretary and Treasurer;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407"/>
        <w:gridCol w:w="101"/>
        <w:gridCol w:w="9188"/>
      </w:tblGrid>
      <w:tr>
        <w:trPr/>
        <w:tc>
          <w:tcPr>
            <w:tcW w:w="509"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Kieran OKane, Chief Commercial Officer.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executive compensation program is intended to align executive compensation with our performance objectives and business strategy and to enable us to attract, motivate, retain and reward executive officers who operate in a highly competitive and technologically challenging environment and whose contributions are critical to our long-term success. The compensation paid or awarded to our executive officers is generally based on the assessment of each individuals performance compared against the business objectives established for the fiscal year as well as our historical compensation practices. The compensation paid to newly hired executive officers is primarily determined based on the negotiations of the parties as well as our historical compensation practices, and we seek fairness in total compensation paid to our executive officers. As a result, we benchmark executive compensation against external and internal comparisons and look at the relationship between team member roles in the organization to determine appropriate compensation. For the year ended December 31, 2023, the material elements of our executive compensation program were base salary, annual cash bonus and equity awards in the form of RSUs. </w:t>
      </w:r>
    </w:p>
    <w:p>
      <w:pPr>
        <w:pStyle w:val="TextBody"/>
        <w:bidi w:val="0"/>
        <w:spacing w:before="240" w:after="0"/>
        <w:jc w:val="left"/>
        <w:rPr>
          <w:rFonts w:ascii="Times New Roman" w:hAnsi="Times New Roman"/>
          <w:sz w:val="20"/>
        </w:rPr>
      </w:pPr>
      <w:r>
        <w:rPr>
          <w:rFonts w:ascii="Times New Roman" w:hAnsi="Times New Roman"/>
          <w:sz w:val="20"/>
        </w:rPr>
        <w:t xml:space="preserve">Performance-based, at risk and variable compensation in the form of annual cash bonuses and equity-based compensation is a significant portion of the overall compensation paid to each named executive officer. Our annual cash bonuses are earned or vest only upon the achievement of certain performance metrics. In addition, the value received from RSUs and stock options (if any) depends on our stock price.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our executive compensation program will continue to evolve over the coming years, while still supporting our overall business and compensation objectives. The compensation committee of our board of directors oversees our executive compensation program. In addition, during the year ended December 31, 2023, the compensation committee utilized our independent executive compensation consultant to advise us on the elements of our executive compensation program.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27</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color w:val="305494"/>
          <w:sz w:val="28"/>
        </w:rPr>
      </w:pPr>
      <w:bookmarkStart w:id="33" w:name="toc674951_31"/>
      <w:bookmarkEnd w:id="33"/>
      <w:r>
        <w:rPr>
          <w:rFonts w:ascii="Times New Roman" w:hAnsi="Times New Roman"/>
          <w:color w:val="305494"/>
          <w:sz w:val="28"/>
        </w:rPr>
        <w:t xml:space="preserve">Compensation of Named Executive Officers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to us. Please see the Salary column in the Summary Compensation Table for the base salary amounts received by each named executive officer during the years ended December 31, 2022 and December 31, 2023. </w:t>
      </w:r>
    </w:p>
    <w:p>
      <w:pPr>
        <w:pStyle w:val="TextBody"/>
        <w:bidi w:val="0"/>
        <w:spacing w:before="120" w:after="0"/>
        <w:jc w:val="left"/>
        <w:rPr>
          <w:rFonts w:ascii="Times New Roman" w:hAnsi="Times New Roman"/>
          <w:sz w:val="20"/>
        </w:rPr>
      </w:pPr>
      <w:r>
        <w:rPr>
          <w:rFonts w:ascii="Times New Roman" w:hAnsi="Times New Roman"/>
          <w:sz w:val="20"/>
        </w:rPr>
        <w:t xml:space="preserve">As of January 1, 2023, Mr. Huttons annual base salary was $515,000, Ms. Harper Cowies annual base salary was $355,000, and Mr. OKanes annual base salary was $335,000. The compensation committee did not increase base salaries for the named executive officers in 2023 as the result of efforts to conserve cash resources.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Annual Cash Bonuses </w:t>
      </w:r>
    </w:p>
    <w:p>
      <w:pPr>
        <w:pStyle w:val="TextBody"/>
        <w:bidi w:val="0"/>
        <w:spacing w:before="120" w:after="0"/>
        <w:jc w:val="left"/>
        <w:rPr>
          <w:rFonts w:ascii="Times New Roman" w:hAnsi="Times New Roman"/>
          <w:sz w:val="20"/>
        </w:rPr>
      </w:pPr>
      <w:r>
        <w:rPr>
          <w:rFonts w:ascii="Times New Roman" w:hAnsi="Times New Roman"/>
          <w:sz w:val="20"/>
        </w:rPr>
        <w:t xml:space="preserve">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compensation committee at the beginning of each fiscal year. </w:t>
      </w:r>
    </w:p>
    <w:p>
      <w:pPr>
        <w:pStyle w:val="TextBody"/>
        <w:bidi w:val="0"/>
        <w:spacing w:before="120" w:after="0"/>
        <w:jc w:val="left"/>
        <w:rPr>
          <w:rFonts w:ascii="Times New Roman" w:hAnsi="Times New Roman"/>
          <w:sz w:val="20"/>
        </w:rPr>
      </w:pPr>
      <w:r>
        <w:rPr>
          <w:rFonts w:ascii="Times New Roman" w:hAnsi="Times New Roman"/>
          <w:sz w:val="20"/>
        </w:rPr>
        <w:t xml:space="preserve">Generally, our compensation committee establishes a Company-based performance metric as a threshold vesting criterion for any payouts for a particular annual bonus period. For 2023, individual performance goals did not factor into determining payouts for the annual bonus period. </w:t>
      </w:r>
    </w:p>
    <w:p>
      <w:pPr>
        <w:pStyle w:val="TextBody"/>
        <w:bidi w:val="0"/>
        <w:spacing w:before="120" w:after="0"/>
        <w:jc w:val="left"/>
        <w:rPr>
          <w:rFonts w:ascii="Times New Roman" w:hAnsi="Times New Roman"/>
          <w:sz w:val="20"/>
        </w:rPr>
      </w:pPr>
      <w:r>
        <w:rPr>
          <w:rFonts w:ascii="Times New Roman" w:hAnsi="Times New Roman"/>
          <w:sz w:val="20"/>
        </w:rPr>
        <w:t xml:space="preserve">For 2023, the compensation committee determined that the Companys short-term incentive compensation would be based on the achievement of three financial objectives, (i) total revenue determined in accordance with U.S. GAAP, (ii) gross margin percentage and (iii) total operating expense (excluding certain non-cash expenses). Actual results were measured at year end against targeted outcomes. Mr. Huttons, Ms. Harper Cowies and Mr. OKanes 2023 bonus targets as a percentage of annual base salary were 100%, 50% and 60%, respectively. Based on our 2023 performance, our compensation committee determined, and our board of directors approved, a corporate funding percentage under our annual cash bonus program equal to approximately 38.1% of the target bonus opportunity. </w:t>
      </w:r>
    </w:p>
    <w:p>
      <w:pPr>
        <w:pStyle w:val="TextBody"/>
        <w:bidi w:val="0"/>
        <w:spacing w:before="120" w:after="0"/>
        <w:jc w:val="left"/>
        <w:rPr>
          <w:rFonts w:ascii="Times New Roman" w:hAnsi="Times New Roman"/>
          <w:sz w:val="20"/>
        </w:rPr>
      </w:pPr>
      <w:r>
        <w:rPr>
          <w:rFonts w:ascii="Times New Roman" w:hAnsi="Times New Roman"/>
          <w:sz w:val="20"/>
        </w:rPr>
        <w:t xml:space="preserve">Under the Companys 2021 Senior Management Bonus to Equity Plan, eligible executives, including each of our named executive officers, were permitted to elect to receive 25%, 50%, 75% or 100% of the annual bonus earned during 2023 in the form of a bonus-to-options award, subject to an individual cap equal to the executives target annual bonus or any maximum dollar amount approved by the Company or the executive for such year. Effective as of December 14, 2022, the plan was amended to further provide that the amount of the annual bonus an eligible executive may elect to receive in the form of a bonus-to-options award may also be subject to a maximum percentage approved by the Company for such year. The maximum percentage that applied for 2023 was 50%. The bonus-to-options awards, if any, are fully vested on the grant date and have an exercise price equal to the fair market value of our common stock on the grant date. The program reflects our commitment to a pay for performance philosophy and further aligns our executive compensation program with the long-term interests of our stockholders because an executive who participates foregoes a portion of his or her annual cash bonus in exchange for an option award that will be valuable only if the stock price increases. </w:t>
      </w:r>
    </w:p>
    <w:p>
      <w:pPr>
        <w:pStyle w:val="TextBody"/>
        <w:bidi w:val="0"/>
        <w:spacing w:before="120" w:after="0"/>
        <w:jc w:val="left"/>
        <w:rPr>
          <w:rFonts w:ascii="Times New Roman" w:hAnsi="Times New Roman"/>
          <w:sz w:val="20"/>
        </w:rPr>
      </w:pPr>
      <w:r>
        <w:rPr>
          <w:rFonts w:ascii="Times New Roman" w:hAnsi="Times New Roman"/>
          <w:sz w:val="20"/>
        </w:rPr>
        <w:t xml:space="preserve">Pursuant to elections made in 2022, each named executive officer received a portion of their respective annual bonuses earned in 2023 in the form of a bonus-to-options award instead of in cash. For annual bonuses earned in 2023, the number of shares of the Companys common stock subject to each bonus-to-options award granted in 2024 was determined by multiplying the cash value of the bonus that was elected to be received in the form of an option award by three, and then dividing the product of that calculation by $1.63 (the Companys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28</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average stock price during 2023, calculated based on the daily closing price of our publicly traded common stock). Accordingly, each of Mr. Hutton, Ms. Harper Cowie and Mr. OKane received a payout under the 2023 annual cash bonus program in cash and/or a bonus-to-options award, as illustrated below: </w:t>
      </w:r>
    </w:p>
    <w:p>
      <w:pPr>
        <w:pStyle w:val="TextBody"/>
        <w:bidi w:val="0"/>
        <w:spacing w:before="0" w:after="0"/>
        <w:jc w:val="left"/>
        <w:rPr/>
      </w:pPr>
      <w:r>
        <w:rPr/>
        <w:t> </w:t>
      </w:r>
    </w:p>
    <w:tbl>
      <w:tblPr>
        <w:tblW w:w="3500" w:type="pct"/>
        <w:jc w:val="center"/>
        <w:tblInd w:w="0" w:type="dxa"/>
        <w:tblLayout w:type="fixed"/>
        <w:tblCellMar>
          <w:top w:w="0" w:type="dxa"/>
          <w:left w:w="0" w:type="dxa"/>
          <w:bottom w:w="0" w:type="dxa"/>
          <w:right w:w="0" w:type="dxa"/>
        </w:tblCellMar>
      </w:tblPr>
      <w:tblGrid>
        <w:gridCol w:w="2307"/>
        <w:gridCol w:w="23"/>
        <w:gridCol w:w="30"/>
        <w:gridCol w:w="222"/>
        <w:gridCol w:w="1191"/>
        <w:gridCol w:w="148"/>
        <w:gridCol w:w="23"/>
        <w:gridCol w:w="74"/>
        <w:gridCol w:w="222"/>
        <w:gridCol w:w="2680"/>
        <w:gridCol w:w="223"/>
      </w:tblGrid>
      <w:tr>
        <w:trPr/>
        <w:tc>
          <w:tcPr>
            <w:tcW w:w="2307" w:type="dxa"/>
            <w:tcBorders/>
            <w:vAlign w:val="center"/>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7143" w:type="dxa"/>
            <w:gridSpan w:val="11"/>
            <w:tcBorders>
              <w:top w:val="single" w:sz="2" w:space="0" w:color="000000"/>
              <w:left w:val="single" w:sz="2" w:space="0" w:color="000000"/>
              <w:right w:val="single" w:sz="2" w:space="0" w:color="000000"/>
            </w:tcBorders>
            <w:shd w:fill="D8D8D8" w:val="clear"/>
            <w:tcMar>
              <w:top w:w="28" w:type="dxa"/>
              <w:left w:w="160" w:type="dxa"/>
              <w:right w:w="28" w:type="dxa"/>
            </w:tcMar>
            <w:vAlign w:val="center"/>
          </w:tcPr>
          <w:p>
            <w:pPr>
              <w:pStyle w:val="TableContents"/>
              <w:bidi w:val="0"/>
              <w:spacing w:before="0" w:after="283"/>
              <w:jc w:val="left"/>
              <w:rPr/>
            </w:pPr>
            <w:r>
              <w:rPr/>
              <w:t> </w:t>
            </w:r>
          </w:p>
        </w:tc>
      </w:tr>
      <w:tr>
        <w:trPr/>
        <w:tc>
          <w:tcPr>
            <w:tcW w:w="7143" w:type="dxa"/>
            <w:gridSpan w:val="11"/>
            <w:tcBorders>
              <w:left w:val="single" w:sz="2" w:space="0" w:color="000000"/>
              <w:right w:val="single" w:sz="2" w:space="0" w:color="000000"/>
            </w:tcBorders>
            <w:shd w:fill="D8D8D8" w:val="clear"/>
            <w:tcMar>
              <w:left w:w="160" w:type="dxa"/>
              <w:right w:w="28" w:type="dxa"/>
            </w:tcMar>
          </w:tcPr>
          <w:p>
            <w:pPr>
              <w:pStyle w:val="TableContents"/>
              <w:bidi w:val="0"/>
              <w:spacing w:before="0" w:after="283"/>
              <w:jc w:val="center"/>
              <w:rPr>
                <w:b/>
              </w:rPr>
            </w:pPr>
            <w:r>
              <w:rPr>
                <w:b/>
              </w:rPr>
              <w:t>2023</w:t>
            </w:r>
          </w:p>
        </w:tc>
      </w:tr>
      <w:tr>
        <w:trPr/>
        <w:tc>
          <w:tcPr>
            <w:tcW w:w="2307" w:type="dxa"/>
            <w:tcBorders>
              <w:top w:val="single" w:sz="2" w:space="0" w:color="000000"/>
              <w:left w:val="single" w:sz="2" w:space="0" w:color="000000"/>
            </w:tcBorders>
            <w:shd w:fill="D8D8D8" w:val="clear"/>
            <w:tcMar>
              <w:top w:w="28" w:type="dxa"/>
              <w:left w:w="160" w:type="dxa"/>
            </w:tcMar>
          </w:tcPr>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23" w:type="dxa"/>
            <w:tcBorders>
              <w:top w:val="single" w:sz="2" w:space="0" w:color="000000"/>
              <w:left w:val="single" w:sz="2" w:space="0" w:color="000000"/>
            </w:tcBorders>
            <w:shd w:fill="D8D8D8" w:val="clear"/>
            <w:tcMar>
              <w:top w:w="28" w:type="dxa"/>
              <w:left w:w="28" w:type="dxa"/>
            </w:tcMar>
            <w:vAlign w:val="bottom"/>
          </w:tcPr>
          <w:p>
            <w:pPr>
              <w:pStyle w:val="TableContents"/>
              <w:bidi w:val="0"/>
              <w:spacing w:before="0" w:after="283"/>
              <w:jc w:val="left"/>
              <w:rPr>
                <w:sz w:val="4"/>
                <w:szCs w:val="4"/>
              </w:rPr>
            </w:pPr>
            <w:r>
              <w:rPr>
                <w:sz w:val="4"/>
                <w:szCs w:val="4"/>
              </w:rPr>
            </w:r>
          </w:p>
        </w:tc>
        <w:tc>
          <w:tcPr>
            <w:tcW w:w="1591" w:type="dxa"/>
            <w:gridSpan w:val="4"/>
            <w:tcBorders>
              <w:top w:val="single" w:sz="2" w:space="0" w:color="000000"/>
              <w:right w:val="single" w:sz="2" w:space="0" w:color="000000"/>
            </w:tcBorders>
            <w:shd w:fill="D8D8D8" w:val="clear"/>
            <w:tcMar>
              <w:top w:w="28" w:type="dxa"/>
              <w:right w:w="28" w:type="dxa"/>
            </w:tcMar>
          </w:tcPr>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Incentive</w:t>
              <w:br/>
              <w:t>Cash Payout</w:t>
            </w:r>
          </w:p>
        </w:tc>
        <w:tc>
          <w:tcPr>
            <w:tcW w:w="23" w:type="dxa"/>
            <w:tcBorders>
              <w:top w:val="single" w:sz="2" w:space="0" w:color="000000"/>
            </w:tcBorders>
            <w:shd w:fill="D8D8D8" w:val="clear"/>
            <w:tcMar>
              <w:top w:w="28" w:type="dxa"/>
            </w:tcMar>
            <w:vAlign w:val="bottom"/>
          </w:tcPr>
          <w:p>
            <w:pPr>
              <w:pStyle w:val="TableContents"/>
              <w:bidi w:val="0"/>
              <w:spacing w:before="0" w:after="283"/>
              <w:jc w:val="left"/>
              <w:rPr>
                <w:sz w:val="4"/>
                <w:szCs w:val="4"/>
              </w:rPr>
            </w:pPr>
            <w:r>
              <w:rPr>
                <w:sz w:val="4"/>
                <w:szCs w:val="4"/>
              </w:rPr>
            </w:r>
          </w:p>
        </w:tc>
        <w:tc>
          <w:tcPr>
            <w:tcW w:w="3199" w:type="dxa"/>
            <w:gridSpan w:val="4"/>
            <w:tcBorders>
              <w:top w:val="single" w:sz="2" w:space="0" w:color="000000"/>
              <w:right w:val="single" w:sz="2" w:space="0" w:color="000000"/>
            </w:tcBorders>
            <w:shd w:fill="D8D8D8" w:val="clear"/>
            <w:tcMar>
              <w:top w:w="28" w:type="dxa"/>
              <w:right w:w="28" w:type="dxa"/>
            </w:tcMar>
          </w:tcPr>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Shares Subject to Bonus-</w:t>
              <w:br/>
              <w:t>to-Option Award</w:t>
            </w:r>
          </w:p>
        </w:tc>
      </w:tr>
      <w:tr>
        <w:trPr/>
        <w:tc>
          <w:tcPr>
            <w:tcW w:w="2307" w:type="dxa"/>
            <w:tcBorders>
              <w:top w:val="single" w:sz="2" w:space="0" w:color="000000"/>
              <w:left w:val="single" w:sz="2" w:space="0" w:color="000000"/>
            </w:tcBorders>
            <w:tcMar>
              <w:top w:w="28" w:type="dxa"/>
              <w:left w:w="160"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Scott Hutton</w:t>
            </w:r>
          </w:p>
        </w:tc>
        <w:tc>
          <w:tcPr>
            <w:tcW w:w="23"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sz w:val="4"/>
                <w:szCs w:val="4"/>
              </w:rPr>
            </w:pPr>
            <w:r>
              <w:rPr>
                <w:sz w:val="4"/>
                <w:szCs w:val="4"/>
              </w:rPr>
            </w:r>
          </w:p>
        </w:tc>
        <w:tc>
          <w:tcPr>
            <w:tcW w:w="30" w:type="dxa"/>
            <w:tcBorders>
              <w:top w:val="single" w:sz="2" w:space="0" w:color="000000"/>
            </w:tcBorders>
            <w:tcMar>
              <w:top w:w="28" w:type="dxa"/>
            </w:tcMar>
            <w:vAlign w:val="bottom"/>
          </w:tcPr>
          <w:p>
            <w:pPr>
              <w:pStyle w:val="TableContents"/>
              <w:bidi w:val="0"/>
              <w:spacing w:before="0" w:after="283"/>
              <w:jc w:val="left"/>
              <w:rPr>
                <w:sz w:val="4"/>
                <w:szCs w:val="4"/>
              </w:rPr>
            </w:pPr>
            <w:r>
              <w:rPr>
                <w:sz w:val="4"/>
                <w:szCs w:val="4"/>
              </w:rPr>
            </w:r>
          </w:p>
        </w:tc>
        <w:tc>
          <w:tcPr>
            <w:tcW w:w="222" w:type="dxa"/>
            <w:tcBorders>
              <w:top w:val="single" w:sz="2" w:space="0" w:color="000000"/>
            </w:tcBorders>
            <w:tcMar>
              <w:top w:w="28" w:type="dxa"/>
            </w:tcMar>
            <w:vAlign w:val="bottom"/>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w:t>
            </w:r>
          </w:p>
        </w:tc>
        <w:tc>
          <w:tcPr>
            <w:tcW w:w="1191" w:type="dxa"/>
            <w:tcBorders>
              <w:top w:val="single" w:sz="2" w:space="0" w:color="000000"/>
            </w:tcBorders>
            <w:tcMar>
              <w:top w:w="28" w:type="dxa"/>
            </w:tcMar>
            <w:vAlign w:val="bottom"/>
          </w:tcPr>
          <w:p>
            <w:pPr>
              <w:pStyle w:val="TableContents"/>
              <w:bidi w:val="0"/>
              <w:spacing w:before="0" w:after="0"/>
              <w:jc w:val="left"/>
              <w:rPr/>
            </w:pPr>
            <w:r>
              <w:rPr/>
              <w:t> </w:t>
            </w:r>
          </w:p>
          <w:p>
            <w:pPr>
              <w:pStyle w:val="TableContents"/>
              <w:bidi w:val="0"/>
              <w:spacing w:before="0" w:after="20"/>
              <w:jc w:val="right"/>
              <w:rPr>
                <w:rFonts w:ascii="Times New Roman" w:hAnsi="Times New Roman"/>
                <w:sz w:val="16"/>
              </w:rPr>
            </w:pPr>
            <w:r>
              <w:rPr>
                <w:rFonts w:ascii="Times New Roman" w:hAnsi="Times New Roman"/>
                <w:sz w:val="16"/>
              </w:rPr>
              <w:t>98,058</w:t>
            </w:r>
          </w:p>
        </w:tc>
        <w:tc>
          <w:tcPr>
            <w:tcW w:w="148" w:type="dxa"/>
            <w:tcBorders>
              <w:top w:val="single" w:sz="2" w:space="0" w:color="000000"/>
              <w:right w:val="single" w:sz="2" w:space="0" w:color="000000"/>
            </w:tcBorders>
            <w:tcMar>
              <w:top w:w="28" w:type="dxa"/>
              <w:right w:w="28" w:type="dxa"/>
            </w:tcMar>
            <w:vAlign w:val="bottom"/>
          </w:tcPr>
          <w:p>
            <w:pPr>
              <w:pStyle w:val="TableContents"/>
              <w:bidi w:val="0"/>
              <w:spacing w:before="0" w:after="0"/>
              <w:jc w:val="left"/>
              <w:rPr/>
            </w:pPr>
            <w:r>
              <w:rPr/>
              <w:t> </w:t>
            </w:r>
          </w:p>
        </w:tc>
        <w:tc>
          <w:tcPr>
            <w:tcW w:w="23" w:type="dxa"/>
            <w:tcBorders>
              <w:top w:val="single" w:sz="2" w:space="0" w:color="000000"/>
            </w:tcBorders>
            <w:tcMar>
              <w:top w:w="28" w:type="dxa"/>
            </w:tcMar>
            <w:vAlign w:val="bottom"/>
          </w:tcPr>
          <w:p>
            <w:pPr>
              <w:pStyle w:val="TableContents"/>
              <w:bidi w:val="0"/>
              <w:spacing w:before="0" w:after="283"/>
              <w:jc w:val="left"/>
              <w:rPr>
                <w:sz w:val="4"/>
                <w:szCs w:val="4"/>
              </w:rPr>
            </w:pPr>
            <w:r>
              <w:rPr>
                <w:sz w:val="4"/>
                <w:szCs w:val="4"/>
              </w:rPr>
            </w:r>
          </w:p>
        </w:tc>
        <w:tc>
          <w:tcPr>
            <w:tcW w:w="74" w:type="dxa"/>
            <w:tcBorders>
              <w:top w:val="single" w:sz="2" w:space="0" w:color="000000"/>
            </w:tcBorders>
            <w:tcMar>
              <w:top w:w="28" w:type="dxa"/>
            </w:tcMar>
            <w:vAlign w:val="bottom"/>
          </w:tcPr>
          <w:p>
            <w:pPr>
              <w:pStyle w:val="TableContents"/>
              <w:bidi w:val="0"/>
              <w:spacing w:before="0" w:after="283"/>
              <w:jc w:val="left"/>
              <w:rPr>
                <w:sz w:val="4"/>
                <w:szCs w:val="4"/>
              </w:rPr>
            </w:pPr>
            <w:r>
              <w:rPr>
                <w:sz w:val="4"/>
                <w:szCs w:val="4"/>
              </w:rPr>
            </w:r>
          </w:p>
        </w:tc>
        <w:tc>
          <w:tcPr>
            <w:tcW w:w="222" w:type="dxa"/>
            <w:tcBorders>
              <w:top w:val="single" w:sz="2" w:space="0" w:color="000000"/>
            </w:tcBorders>
            <w:tcMar>
              <w:top w:w="28" w:type="dxa"/>
            </w:tcMar>
            <w:vAlign w:val="bottom"/>
          </w:tcPr>
          <w:p>
            <w:pPr>
              <w:pStyle w:val="TableContents"/>
              <w:bidi w:val="0"/>
              <w:spacing w:before="0" w:after="0"/>
              <w:jc w:val="left"/>
              <w:rPr/>
            </w:pPr>
            <w:r>
              <w:rPr/>
              <w:t> </w:t>
            </w:r>
          </w:p>
          <w:p>
            <w:pPr>
              <w:pStyle w:val="TableContents"/>
              <w:bidi w:val="0"/>
              <w:spacing w:before="0" w:after="20"/>
              <w:jc w:val="left"/>
              <w:rPr/>
            </w:pPr>
            <w:r>
              <w:rPr/>
              <w:t> </w:t>
            </w:r>
          </w:p>
        </w:tc>
        <w:tc>
          <w:tcPr>
            <w:tcW w:w="2680" w:type="dxa"/>
            <w:tcBorders>
              <w:top w:val="single" w:sz="2" w:space="0" w:color="000000"/>
            </w:tcBorders>
            <w:tcMar>
              <w:top w:w="28" w:type="dxa"/>
            </w:tcMar>
            <w:vAlign w:val="bottom"/>
          </w:tcPr>
          <w:p>
            <w:pPr>
              <w:pStyle w:val="TableContents"/>
              <w:bidi w:val="0"/>
              <w:spacing w:before="0" w:after="0"/>
              <w:jc w:val="left"/>
              <w:rPr/>
            </w:pPr>
            <w:r>
              <w:rPr/>
              <w:t> </w:t>
            </w:r>
          </w:p>
          <w:p>
            <w:pPr>
              <w:pStyle w:val="TableContents"/>
              <w:bidi w:val="0"/>
              <w:spacing w:before="0" w:after="20"/>
              <w:jc w:val="right"/>
              <w:rPr>
                <w:rFonts w:ascii="Times New Roman" w:hAnsi="Times New Roman"/>
                <w:sz w:val="16"/>
              </w:rPr>
            </w:pPr>
            <w:r>
              <w:rPr>
                <w:rFonts w:ascii="Times New Roman" w:hAnsi="Times New Roman"/>
                <w:sz w:val="16"/>
              </w:rPr>
              <w:t>180,926</w:t>
            </w:r>
          </w:p>
        </w:tc>
        <w:tc>
          <w:tcPr>
            <w:tcW w:w="223" w:type="dxa"/>
            <w:tcBorders>
              <w:top w:val="single" w:sz="2" w:space="0" w:color="000000"/>
              <w:right w:val="single" w:sz="2" w:space="0" w:color="000000"/>
            </w:tcBorders>
            <w:tcMar>
              <w:top w:w="28" w:type="dxa"/>
              <w:right w:w="40" w:type="dxa"/>
            </w:tcMar>
            <w:vAlign w:val="bottom"/>
          </w:tcPr>
          <w:p>
            <w:pPr>
              <w:pStyle w:val="TableContents"/>
              <w:bidi w:val="0"/>
              <w:spacing w:before="0" w:after="0"/>
              <w:jc w:val="left"/>
              <w:rPr/>
            </w:pPr>
            <w:r>
              <w:rPr/>
              <w:t> </w:t>
            </w:r>
          </w:p>
        </w:tc>
      </w:tr>
      <w:tr>
        <w:trPr/>
        <w:tc>
          <w:tcPr>
            <w:tcW w:w="2307" w:type="dxa"/>
            <w:tcBorders>
              <w:top w:val="single" w:sz="2" w:space="0" w:color="000000"/>
              <w:left w:val="single" w:sz="2" w:space="0" w:color="000000"/>
            </w:tcBorders>
            <w:tcMar>
              <w:top w:w="28" w:type="dxa"/>
              <w:left w:w="160"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Robin Harper Cowie</w:t>
            </w:r>
          </w:p>
        </w:tc>
        <w:tc>
          <w:tcPr>
            <w:tcW w:w="23"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sz w:val="4"/>
                <w:szCs w:val="4"/>
              </w:rPr>
            </w:pPr>
            <w:r>
              <w:rPr>
                <w:sz w:val="4"/>
                <w:szCs w:val="4"/>
              </w:rPr>
            </w:r>
          </w:p>
        </w:tc>
        <w:tc>
          <w:tcPr>
            <w:tcW w:w="30" w:type="dxa"/>
            <w:tcBorders>
              <w:top w:val="single" w:sz="2" w:space="0" w:color="000000"/>
            </w:tcBorders>
            <w:tcMar>
              <w:top w:w="28" w:type="dxa"/>
            </w:tcMar>
            <w:vAlign w:val="bottom"/>
          </w:tcPr>
          <w:p>
            <w:pPr>
              <w:pStyle w:val="TableContents"/>
              <w:bidi w:val="0"/>
              <w:spacing w:before="0" w:after="283"/>
              <w:jc w:val="left"/>
              <w:rPr>
                <w:sz w:val="4"/>
                <w:szCs w:val="4"/>
              </w:rPr>
            </w:pPr>
            <w:r>
              <w:rPr>
                <w:sz w:val="4"/>
                <w:szCs w:val="4"/>
              </w:rPr>
            </w:r>
          </w:p>
        </w:tc>
        <w:tc>
          <w:tcPr>
            <w:tcW w:w="222" w:type="dxa"/>
            <w:tcBorders>
              <w:top w:val="single" w:sz="2" w:space="0" w:color="000000"/>
            </w:tcBorders>
            <w:tcMar>
              <w:top w:w="28" w:type="dxa"/>
            </w:tcMar>
            <w:vAlign w:val="bottom"/>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w:t>
            </w:r>
          </w:p>
        </w:tc>
        <w:tc>
          <w:tcPr>
            <w:tcW w:w="1191" w:type="dxa"/>
            <w:tcBorders>
              <w:top w:val="single" w:sz="2" w:space="0" w:color="000000"/>
            </w:tcBorders>
            <w:tcMar>
              <w:top w:w="28" w:type="dxa"/>
            </w:tcMar>
            <w:vAlign w:val="bottom"/>
          </w:tcPr>
          <w:p>
            <w:pPr>
              <w:pStyle w:val="TableContents"/>
              <w:bidi w:val="0"/>
              <w:spacing w:before="0" w:after="0"/>
              <w:jc w:val="left"/>
              <w:rPr/>
            </w:pPr>
            <w:r>
              <w:rPr/>
              <w:t> </w:t>
            </w:r>
          </w:p>
          <w:p>
            <w:pPr>
              <w:pStyle w:val="TableContents"/>
              <w:bidi w:val="0"/>
              <w:spacing w:before="0" w:after="20"/>
              <w:jc w:val="right"/>
              <w:rPr>
                <w:rFonts w:ascii="Times New Roman" w:hAnsi="Times New Roman"/>
                <w:sz w:val="16"/>
              </w:rPr>
            </w:pPr>
            <w:r>
              <w:rPr>
                <w:rFonts w:ascii="Times New Roman" w:hAnsi="Times New Roman"/>
                <w:sz w:val="16"/>
              </w:rPr>
              <w:t>33,797</w:t>
            </w:r>
          </w:p>
        </w:tc>
        <w:tc>
          <w:tcPr>
            <w:tcW w:w="148" w:type="dxa"/>
            <w:tcBorders>
              <w:top w:val="single" w:sz="2" w:space="0" w:color="000000"/>
              <w:right w:val="single" w:sz="2" w:space="0" w:color="000000"/>
            </w:tcBorders>
            <w:tcMar>
              <w:top w:w="28" w:type="dxa"/>
              <w:right w:w="28" w:type="dxa"/>
            </w:tcMar>
            <w:vAlign w:val="bottom"/>
          </w:tcPr>
          <w:p>
            <w:pPr>
              <w:pStyle w:val="TableContents"/>
              <w:bidi w:val="0"/>
              <w:spacing w:before="0" w:after="0"/>
              <w:jc w:val="left"/>
              <w:rPr/>
            </w:pPr>
            <w:r>
              <w:rPr/>
              <w:t> </w:t>
            </w:r>
          </w:p>
        </w:tc>
        <w:tc>
          <w:tcPr>
            <w:tcW w:w="23" w:type="dxa"/>
            <w:tcBorders>
              <w:top w:val="single" w:sz="2" w:space="0" w:color="000000"/>
            </w:tcBorders>
            <w:tcMar>
              <w:top w:w="28" w:type="dxa"/>
            </w:tcMar>
            <w:vAlign w:val="bottom"/>
          </w:tcPr>
          <w:p>
            <w:pPr>
              <w:pStyle w:val="TableContents"/>
              <w:bidi w:val="0"/>
              <w:spacing w:before="0" w:after="283"/>
              <w:jc w:val="left"/>
              <w:rPr>
                <w:sz w:val="4"/>
                <w:szCs w:val="4"/>
              </w:rPr>
            </w:pPr>
            <w:r>
              <w:rPr>
                <w:sz w:val="4"/>
                <w:szCs w:val="4"/>
              </w:rPr>
            </w:r>
          </w:p>
        </w:tc>
        <w:tc>
          <w:tcPr>
            <w:tcW w:w="74" w:type="dxa"/>
            <w:tcBorders>
              <w:top w:val="single" w:sz="2" w:space="0" w:color="000000"/>
            </w:tcBorders>
            <w:tcMar>
              <w:top w:w="28" w:type="dxa"/>
            </w:tcMar>
            <w:vAlign w:val="bottom"/>
          </w:tcPr>
          <w:p>
            <w:pPr>
              <w:pStyle w:val="TableContents"/>
              <w:bidi w:val="0"/>
              <w:spacing w:before="0" w:after="283"/>
              <w:jc w:val="left"/>
              <w:rPr>
                <w:sz w:val="4"/>
                <w:szCs w:val="4"/>
              </w:rPr>
            </w:pPr>
            <w:r>
              <w:rPr>
                <w:sz w:val="4"/>
                <w:szCs w:val="4"/>
              </w:rPr>
            </w:r>
          </w:p>
        </w:tc>
        <w:tc>
          <w:tcPr>
            <w:tcW w:w="222" w:type="dxa"/>
            <w:tcBorders>
              <w:top w:val="single" w:sz="2" w:space="0" w:color="000000"/>
            </w:tcBorders>
            <w:tcMar>
              <w:top w:w="28" w:type="dxa"/>
            </w:tcMar>
            <w:vAlign w:val="bottom"/>
          </w:tcPr>
          <w:p>
            <w:pPr>
              <w:pStyle w:val="TableContents"/>
              <w:bidi w:val="0"/>
              <w:spacing w:before="0" w:after="0"/>
              <w:jc w:val="left"/>
              <w:rPr/>
            </w:pPr>
            <w:r>
              <w:rPr/>
              <w:t> </w:t>
            </w:r>
          </w:p>
          <w:p>
            <w:pPr>
              <w:pStyle w:val="TableContents"/>
              <w:bidi w:val="0"/>
              <w:spacing w:before="0" w:after="20"/>
              <w:jc w:val="left"/>
              <w:rPr/>
            </w:pPr>
            <w:r>
              <w:rPr/>
              <w:t> </w:t>
            </w:r>
          </w:p>
        </w:tc>
        <w:tc>
          <w:tcPr>
            <w:tcW w:w="2680" w:type="dxa"/>
            <w:tcBorders>
              <w:top w:val="single" w:sz="2" w:space="0" w:color="000000"/>
            </w:tcBorders>
            <w:tcMar>
              <w:top w:w="28" w:type="dxa"/>
            </w:tcMar>
            <w:vAlign w:val="bottom"/>
          </w:tcPr>
          <w:p>
            <w:pPr>
              <w:pStyle w:val="TableContents"/>
              <w:bidi w:val="0"/>
              <w:spacing w:before="0" w:after="0"/>
              <w:jc w:val="left"/>
              <w:rPr/>
            </w:pPr>
            <w:r>
              <w:rPr/>
              <w:t> </w:t>
            </w:r>
          </w:p>
          <w:p>
            <w:pPr>
              <w:pStyle w:val="TableContents"/>
              <w:bidi w:val="0"/>
              <w:spacing w:before="0" w:after="20"/>
              <w:jc w:val="right"/>
              <w:rPr>
                <w:rFonts w:ascii="Times New Roman" w:hAnsi="Times New Roman"/>
                <w:sz w:val="16"/>
              </w:rPr>
            </w:pPr>
            <w:r>
              <w:rPr>
                <w:rFonts w:ascii="Times New Roman" w:hAnsi="Times New Roman"/>
                <w:sz w:val="16"/>
              </w:rPr>
              <w:t>62,358</w:t>
            </w:r>
          </w:p>
        </w:tc>
        <w:tc>
          <w:tcPr>
            <w:tcW w:w="223" w:type="dxa"/>
            <w:tcBorders>
              <w:top w:val="single" w:sz="2" w:space="0" w:color="000000"/>
              <w:right w:val="single" w:sz="2" w:space="0" w:color="000000"/>
            </w:tcBorders>
            <w:tcMar>
              <w:top w:w="28" w:type="dxa"/>
              <w:right w:w="40" w:type="dxa"/>
            </w:tcMar>
            <w:vAlign w:val="bottom"/>
          </w:tcPr>
          <w:p>
            <w:pPr>
              <w:pStyle w:val="TableContents"/>
              <w:bidi w:val="0"/>
              <w:spacing w:before="0" w:after="0"/>
              <w:jc w:val="left"/>
              <w:rPr/>
            </w:pPr>
            <w:r>
              <w:rPr/>
              <w:t> </w:t>
            </w:r>
          </w:p>
        </w:tc>
      </w:tr>
      <w:tr>
        <w:trPr/>
        <w:tc>
          <w:tcPr>
            <w:tcW w:w="2307"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Kieran OKane</w:t>
            </w:r>
          </w:p>
        </w:tc>
        <w:tc>
          <w:tcPr>
            <w:tcW w:w="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sz w:val="4"/>
                <w:szCs w:val="4"/>
              </w:rPr>
            </w:pPr>
            <w:r>
              <w:rPr>
                <w:sz w:val="4"/>
                <w:szCs w:val="4"/>
              </w:rPr>
            </w:r>
          </w:p>
        </w:tc>
        <w:tc>
          <w:tcPr>
            <w:tcW w:w="3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sz w:val="4"/>
                <w:szCs w:val="4"/>
              </w:rPr>
            </w:pPr>
            <w:r>
              <w:rPr>
                <w:sz w:val="4"/>
                <w:szCs w:val="4"/>
              </w:rPr>
            </w:r>
          </w:p>
        </w:tc>
        <w:tc>
          <w:tcPr>
            <w:tcW w:w="222" w:type="dxa"/>
            <w:tcBorders>
              <w:top w:val="single" w:sz="2" w:space="0" w:color="000000"/>
              <w:bottom w:val="single" w:sz="2" w:space="0" w:color="000000"/>
            </w:tcBorders>
            <w:tcMar>
              <w:top w:w="28" w:type="dxa"/>
              <w:bottom w:w="28" w:type="dxa"/>
            </w:tcMar>
            <w:vAlign w:val="bottom"/>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w:t>
            </w:r>
          </w:p>
        </w:tc>
        <w:tc>
          <w:tcPr>
            <w:tcW w:w="1191" w:type="dxa"/>
            <w:tcBorders>
              <w:top w:val="single" w:sz="2" w:space="0" w:color="000000"/>
              <w:bottom w:val="single" w:sz="2" w:space="0" w:color="000000"/>
            </w:tcBorders>
            <w:tcMar>
              <w:top w:w="28" w:type="dxa"/>
              <w:bottom w:w="28" w:type="dxa"/>
            </w:tcMar>
            <w:vAlign w:val="bottom"/>
          </w:tcPr>
          <w:p>
            <w:pPr>
              <w:pStyle w:val="TableContents"/>
              <w:bidi w:val="0"/>
              <w:spacing w:before="0" w:after="0"/>
              <w:jc w:val="left"/>
              <w:rPr/>
            </w:pPr>
            <w:r>
              <w:rPr/>
              <w:t> </w:t>
            </w:r>
          </w:p>
          <w:p>
            <w:pPr>
              <w:pStyle w:val="TableContents"/>
              <w:bidi w:val="0"/>
              <w:spacing w:before="0" w:after="20"/>
              <w:jc w:val="right"/>
              <w:rPr>
                <w:rFonts w:ascii="Times New Roman" w:hAnsi="Times New Roman"/>
                <w:sz w:val="16"/>
              </w:rPr>
            </w:pPr>
            <w:r>
              <w:rPr>
                <w:rFonts w:ascii="Times New Roman" w:hAnsi="Times New Roman"/>
                <w:sz w:val="16"/>
              </w:rPr>
              <w:t>57,407</w:t>
            </w:r>
          </w:p>
        </w:tc>
        <w:tc>
          <w:tcPr>
            <w:tcW w:w="148"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0"/>
              <w:jc w:val="left"/>
              <w:rPr/>
            </w:pPr>
            <w:r>
              <w:rPr/>
              <w:t> </w:t>
            </w:r>
          </w:p>
        </w:tc>
        <w:tc>
          <w:tcPr>
            <w:tcW w:w="2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sz w:val="4"/>
                <w:szCs w:val="4"/>
              </w:rPr>
            </w:pPr>
            <w:r>
              <w:rPr>
                <w:sz w:val="4"/>
                <w:szCs w:val="4"/>
              </w:rPr>
            </w:r>
          </w:p>
        </w:tc>
        <w:tc>
          <w:tcPr>
            <w:tcW w:w="74"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sz w:val="4"/>
                <w:szCs w:val="4"/>
              </w:rPr>
            </w:pPr>
            <w:r>
              <w:rPr>
                <w:sz w:val="4"/>
                <w:szCs w:val="4"/>
              </w:rPr>
            </w:r>
          </w:p>
        </w:tc>
        <w:tc>
          <w:tcPr>
            <w:tcW w:w="222" w:type="dxa"/>
            <w:tcBorders>
              <w:top w:val="single" w:sz="2" w:space="0" w:color="000000"/>
              <w:bottom w:val="single" w:sz="2" w:space="0" w:color="000000"/>
            </w:tcBorders>
            <w:tcMar>
              <w:top w:w="28" w:type="dxa"/>
              <w:bottom w:w="28" w:type="dxa"/>
            </w:tcMar>
            <w:vAlign w:val="bottom"/>
          </w:tcPr>
          <w:p>
            <w:pPr>
              <w:pStyle w:val="TableContents"/>
              <w:bidi w:val="0"/>
              <w:spacing w:before="0" w:after="0"/>
              <w:jc w:val="left"/>
              <w:rPr/>
            </w:pPr>
            <w:r>
              <w:rPr/>
              <w:t> </w:t>
            </w:r>
          </w:p>
          <w:p>
            <w:pPr>
              <w:pStyle w:val="TableContents"/>
              <w:bidi w:val="0"/>
              <w:spacing w:before="0" w:after="20"/>
              <w:jc w:val="left"/>
              <w:rPr/>
            </w:pPr>
            <w:r>
              <w:rPr/>
              <w:t> </w:t>
            </w:r>
          </w:p>
        </w:tc>
        <w:tc>
          <w:tcPr>
            <w:tcW w:w="2680" w:type="dxa"/>
            <w:tcBorders>
              <w:top w:val="single" w:sz="2" w:space="0" w:color="000000"/>
              <w:bottom w:val="single" w:sz="2" w:space="0" w:color="000000"/>
            </w:tcBorders>
            <w:tcMar>
              <w:top w:w="28" w:type="dxa"/>
              <w:bottom w:w="28" w:type="dxa"/>
            </w:tcMar>
            <w:vAlign w:val="bottom"/>
          </w:tcPr>
          <w:p>
            <w:pPr>
              <w:pStyle w:val="TableContents"/>
              <w:bidi w:val="0"/>
              <w:spacing w:before="0" w:after="0"/>
              <w:jc w:val="left"/>
              <w:rPr/>
            </w:pPr>
            <w:r>
              <w:rPr/>
              <w:t> </w:t>
            </w:r>
          </w:p>
          <w:p>
            <w:pPr>
              <w:pStyle w:val="TableContents"/>
              <w:bidi w:val="0"/>
              <w:spacing w:before="0" w:after="20"/>
              <w:jc w:val="right"/>
              <w:rPr>
                <w:rFonts w:ascii="Times New Roman" w:hAnsi="Times New Roman"/>
                <w:sz w:val="16"/>
              </w:rPr>
            </w:pPr>
            <w:r>
              <w:rPr>
                <w:rFonts w:ascii="Times New Roman" w:hAnsi="Times New Roman"/>
                <w:sz w:val="16"/>
              </w:rPr>
              <w:t>35,307</w:t>
            </w:r>
          </w:p>
        </w:tc>
        <w:tc>
          <w:tcPr>
            <w:tcW w:w="223"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0"/>
              <w:jc w:val="left"/>
              <w:rPr/>
            </w:pPr>
            <w:r>
              <w:rPr/>
              <w:t> </w:t>
            </w:r>
          </w:p>
        </w:tc>
      </w:tr>
    </w:tbl>
    <w:p>
      <w:pPr>
        <w:pStyle w:val="TextBody"/>
        <w:bidi w:val="0"/>
        <w:spacing w:before="360" w:after="0"/>
        <w:jc w:val="left"/>
        <w:rPr>
          <w:rFonts w:ascii="Times New Roman" w:hAnsi="Times New Roman"/>
          <w:b/>
          <w:color w:val="305494"/>
          <w:sz w:val="20"/>
        </w:rPr>
      </w:pPr>
      <w:r>
        <w:rPr>
          <w:rFonts w:ascii="Times New Roman" w:hAnsi="Times New Roman"/>
          <w:b/>
          <w:color w:val="305494"/>
          <w:sz w:val="20"/>
        </w:rPr>
        <w:t xml:space="preserve">Equity Awards </w:t>
      </w:r>
    </w:p>
    <w:p>
      <w:pPr>
        <w:pStyle w:val="TextBody"/>
        <w:bidi w:val="0"/>
        <w:spacing w:before="120" w:after="0"/>
        <w:jc w:val="left"/>
        <w:rPr>
          <w:rFonts w:ascii="Times New Roman" w:hAnsi="Times New Roman"/>
          <w:sz w:val="20"/>
        </w:rPr>
      </w:pPr>
      <w:r>
        <w:rPr>
          <w:rFonts w:ascii="Times New Roman" w:hAnsi="Times New Roman"/>
          <w:sz w:val="20"/>
        </w:rPr>
        <w:t xml:space="preserve">In the year ended December 31, 2023, the compensation committee awarded Mr. Hutton, Ms. Harper Cowie and Mr. OKane, 751,042 RSUs, 194,141 RSUs and 122,135 RSUs, respectively, which vest ratably on an annual basis for four years from the vesting commencement date, subject to continued service through the applicable vesting date. </w:t>
      </w:r>
    </w:p>
    <w:p>
      <w:pPr>
        <w:pStyle w:val="TextBody"/>
        <w:bidi w:val="0"/>
        <w:spacing w:before="120" w:after="0"/>
        <w:jc w:val="left"/>
        <w:rPr>
          <w:rFonts w:ascii="Times New Roman" w:hAnsi="Times New Roman"/>
          <w:sz w:val="20"/>
        </w:rPr>
      </w:pPr>
      <w:r>
        <w:rPr>
          <w:rFonts w:ascii="Times New Roman" w:hAnsi="Times New Roman"/>
          <w:sz w:val="20"/>
        </w:rPr>
        <w:t xml:space="preserve">For 2024, the compensation committee has determined to award a blend of stock options and RSUs to each of our named executive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Stock Option Exchange Program </w:t>
      </w:r>
    </w:p>
    <w:p>
      <w:pPr>
        <w:pStyle w:val="TextBody"/>
        <w:bidi w:val="0"/>
        <w:spacing w:before="120" w:after="0"/>
        <w:jc w:val="left"/>
        <w:rPr>
          <w:rFonts w:ascii="Times New Roman" w:hAnsi="Times New Roman"/>
          <w:sz w:val="20"/>
        </w:rPr>
      </w:pPr>
      <w:r>
        <w:rPr>
          <w:rFonts w:ascii="Times New Roman" w:hAnsi="Times New Roman"/>
          <w:sz w:val="20"/>
        </w:rPr>
        <w:t xml:space="preserve">At the Companys 2023 Annual Meeting of Stockholders on May 23, 2023, shareholders approved a stock option exchange program. As a result, on June 23, 2023, the Company offered eligible employees the opportunity to participate in a stock option exchange program under which they could tender eligible stock options that were substantially out-of-the-money (those with an exercise price greater than $10.00 per share) for exchange and, if accepted, receive a grant of new stock options exercisable for fewer shares of our common stock with an exercise price equal to the closing price of our common stock reported on Nasdaq on the date the new option was granted. The new stock options had different vesting terms than the stock options that were tendered for exchange, as well as a new expiration date. The stock option exchange program closed in accordance with its terms on July 24, 2023 and the new stock options were granted on that date, after the program had closed, with an exercise price of $1.20 per share. Non-employee directors were not eligible to participate in the stock option exchange program. </w:t>
      </w:r>
    </w:p>
    <w:p>
      <w:pPr>
        <w:pStyle w:val="TextBody"/>
        <w:bidi w:val="0"/>
        <w:spacing w:before="120" w:after="0"/>
        <w:jc w:val="left"/>
        <w:rPr>
          <w:rFonts w:ascii="Times New Roman" w:hAnsi="Times New Roman"/>
          <w:sz w:val="20"/>
        </w:rPr>
      </w:pPr>
      <w:r>
        <w:rPr>
          <w:rFonts w:ascii="Times New Roman" w:hAnsi="Times New Roman"/>
          <w:sz w:val="20"/>
        </w:rPr>
        <w:t xml:space="preserve">Mr. Hutton, Ms. Harper Cowie and Mr. OKane tendered eligible stock options in respect of 370,891, 132,963, and 56,654 shares of our common stock, respectively, each with an exercise price of $20.67 per share, in exchange for new stock options in respect of 75,693, 27,138, and 11,564 shares of our common stock, respectively, each with an exercise price of $1.20 per share. The incremental fair value of the new stock options, computed in accordance with FASB ASC Topic 718 on the grant date of the new stock options, was $8,056 for Mr. Hutton, $3,575 for Ms. Harper Cowie and $1,537 for Mr. OKane. </w:t>
      </w:r>
    </w:p>
    <w:p>
      <w:pPr>
        <w:pStyle w:val="TextBody"/>
        <w:bidi w:val="0"/>
        <w:spacing w:before="120" w:after="0"/>
        <w:jc w:val="left"/>
        <w:rPr>
          <w:rFonts w:ascii="Times New Roman" w:hAnsi="Times New Roman"/>
          <w:sz w:val="20"/>
        </w:rPr>
      </w:pPr>
      <w:r>
        <w:rPr>
          <w:rFonts w:ascii="Times New Roman" w:hAnsi="Times New Roman"/>
          <w:sz w:val="20"/>
        </w:rPr>
        <w:t xml:space="preserve">Please see Outstanding Equity Awards at Fiscal 2023 Year-End below for a summary of the outstanding equity awards held by each of the named executive officers as of 2023 year-end.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29</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color w:val="305494"/>
          <w:sz w:val="28"/>
        </w:rPr>
      </w:pPr>
      <w:bookmarkStart w:id="34" w:name="toc674951_32"/>
      <w:bookmarkEnd w:id="34"/>
      <w:r>
        <w:rPr>
          <w:rFonts w:ascii="Times New Roman" w:hAnsi="Times New Roman"/>
          <w:color w:val="305494"/>
          <w:sz w:val="28"/>
        </w:rPr>
        <w:t xml:space="preserve">2023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information regarding the compensation of our named executive officers for services performed during the years ended December 31, 2023 and 2022. </w:t>
      </w:r>
    </w:p>
    <w:p>
      <w:pPr>
        <w:pStyle w:val="TextBody"/>
        <w:bidi w:val="0"/>
        <w:spacing w:before="0" w:after="0"/>
        <w:jc w:val="left"/>
        <w:rPr/>
      </w:pPr>
      <w:r>
        <w:rPr/>
        <w:t> </w:t>
      </w:r>
    </w:p>
    <w:tbl>
      <w:tblPr>
        <w:tblW w:w="11155" w:type="dxa"/>
        <w:jc w:val="center"/>
        <w:tblInd w:w="0" w:type="dxa"/>
        <w:tblLayout w:type="fixed"/>
        <w:tblCellMar>
          <w:top w:w="0" w:type="dxa"/>
          <w:left w:w="0" w:type="dxa"/>
          <w:bottom w:w="0" w:type="dxa"/>
          <w:right w:w="0" w:type="dxa"/>
        </w:tblCellMar>
      </w:tblPr>
      <w:tblGrid>
        <w:gridCol w:w="2930"/>
        <w:gridCol w:w="60"/>
        <w:gridCol w:w="64"/>
        <w:gridCol w:w="541"/>
        <w:gridCol w:w="60"/>
        <w:gridCol w:w="60"/>
        <w:gridCol w:w="60"/>
        <w:gridCol w:w="800"/>
        <w:gridCol w:w="60"/>
        <w:gridCol w:w="60"/>
        <w:gridCol w:w="60"/>
        <w:gridCol w:w="980"/>
        <w:gridCol w:w="60"/>
        <w:gridCol w:w="60"/>
        <w:gridCol w:w="60"/>
        <w:gridCol w:w="800"/>
        <w:gridCol w:w="60"/>
        <w:gridCol w:w="60"/>
        <w:gridCol w:w="88"/>
        <w:gridCol w:w="1402"/>
        <w:gridCol w:w="60"/>
        <w:gridCol w:w="60"/>
        <w:gridCol w:w="144"/>
        <w:gridCol w:w="1346"/>
        <w:gridCol w:w="60"/>
        <w:gridCol w:w="60"/>
        <w:gridCol w:w="60"/>
        <w:gridCol w:w="980"/>
        <w:gridCol w:w="60"/>
      </w:tblGrid>
      <w:tr>
        <w:trPr/>
        <w:tc>
          <w:tcPr>
            <w:tcW w:w="29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2930" w:type="dxa"/>
            <w:tcBorders>
              <w:top w:val="dotted" w:sz="2" w:space="0" w:color="000000"/>
              <w:left w:val="dotted" w:sz="2" w:space="0" w:color="000000"/>
              <w:right w:val="dotted" w:sz="2" w:space="0" w:color="000000"/>
            </w:tcBorders>
            <w:tcMar>
              <w:top w:w="28" w:type="dxa"/>
              <w:left w:w="160" w:type="dxa"/>
              <w:right w:w="28" w:type="dxa"/>
            </w:tcMar>
            <w:vAlign w:val="center"/>
          </w:tcPr>
          <w:p>
            <w:pPr>
              <w:pStyle w:val="TableContents"/>
              <w:bidi w:val="0"/>
              <w:spacing w:before="0" w:after="283"/>
              <w:jc w:val="left"/>
              <w:rPr/>
            </w:pPr>
            <w:r>
              <w:rPr/>
              <w:t> </w:t>
            </w:r>
          </w:p>
        </w:tc>
        <w:tc>
          <w:tcPr>
            <w:tcW w:w="725" w:type="dxa"/>
            <w:gridSpan w:val="4"/>
            <w:tcBorders>
              <w:top w:val="dotted" w:sz="2" w:space="0" w:color="000000"/>
              <w:left w:val="dotted" w:sz="2" w:space="0" w:color="000000"/>
              <w:right w:val="dotted" w:sz="2" w:space="0" w:color="000000"/>
            </w:tcBorders>
            <w:tcMar>
              <w:top w:w="28" w:type="dxa"/>
              <w:left w:w="28" w:type="dxa"/>
              <w:right w:w="28" w:type="dxa"/>
            </w:tcMar>
            <w:vAlign w:val="center"/>
          </w:tcPr>
          <w:p>
            <w:pPr>
              <w:pStyle w:val="TableContents"/>
              <w:bidi w:val="0"/>
              <w:spacing w:before="0" w:after="283"/>
              <w:jc w:val="left"/>
              <w:rPr/>
            </w:pPr>
            <w:r>
              <w:rPr/>
              <w:t> </w:t>
            </w:r>
          </w:p>
        </w:tc>
        <w:tc>
          <w:tcPr>
            <w:tcW w:w="980" w:type="dxa"/>
            <w:gridSpan w:val="4"/>
            <w:tcBorders>
              <w:top w:val="dotted" w:sz="2" w:space="0" w:color="000000"/>
              <w:left w:val="dotted" w:sz="2" w:space="0" w:color="000000"/>
              <w:right w:val="dotted" w:sz="2" w:space="0" w:color="000000"/>
            </w:tcBorders>
            <w:tcMar>
              <w:top w:w="28" w:type="dxa"/>
              <w:left w:w="28" w:type="dxa"/>
              <w:right w:w="28" w:type="dxa"/>
            </w:tcMar>
            <w:vAlign w:val="center"/>
          </w:tcPr>
          <w:p>
            <w:pPr>
              <w:pStyle w:val="TableContents"/>
              <w:bidi w:val="0"/>
              <w:spacing w:before="0" w:after="283"/>
              <w:jc w:val="left"/>
              <w:rPr/>
            </w:pPr>
            <w:r>
              <w:rPr/>
              <w:t> </w:t>
            </w:r>
          </w:p>
        </w:tc>
        <w:tc>
          <w:tcPr>
            <w:tcW w:w="1160" w:type="dxa"/>
            <w:gridSpan w:val="4"/>
            <w:tcBorders>
              <w:top w:val="dotted" w:sz="2" w:space="0" w:color="000000"/>
              <w:left w:val="dotted" w:sz="2" w:space="0" w:color="000000"/>
              <w:right w:val="dotted" w:sz="2" w:space="0" w:color="000000"/>
            </w:tcBorders>
            <w:tcMar>
              <w:top w:w="28" w:type="dxa"/>
              <w:left w:w="28" w:type="dxa"/>
              <w:right w:w="28" w:type="dxa"/>
            </w:tcMar>
            <w:vAlign w:val="center"/>
          </w:tcPr>
          <w:p>
            <w:pPr>
              <w:pStyle w:val="TableContents"/>
              <w:bidi w:val="0"/>
              <w:spacing w:before="0" w:after="283"/>
              <w:jc w:val="left"/>
              <w:rPr/>
            </w:pPr>
            <w:r>
              <w:rPr/>
              <w:t> </w:t>
            </w:r>
          </w:p>
        </w:tc>
        <w:tc>
          <w:tcPr>
            <w:tcW w:w="980" w:type="dxa"/>
            <w:gridSpan w:val="4"/>
            <w:tcBorders>
              <w:top w:val="dotted" w:sz="2" w:space="0" w:color="000000"/>
              <w:left w:val="dotted" w:sz="2" w:space="0" w:color="000000"/>
              <w:right w:val="dotted" w:sz="2" w:space="0" w:color="000000"/>
            </w:tcBorders>
            <w:tcMar>
              <w:top w:w="28" w:type="dxa"/>
              <w:left w:w="28" w:type="dxa"/>
              <w:right w:w="28" w:type="dxa"/>
            </w:tcMar>
            <w:vAlign w:val="center"/>
          </w:tcPr>
          <w:p>
            <w:pPr>
              <w:pStyle w:val="TableContents"/>
              <w:bidi w:val="0"/>
              <w:spacing w:before="0" w:after="283"/>
              <w:jc w:val="left"/>
              <w:rPr/>
            </w:pPr>
            <w:r>
              <w:rPr/>
              <w:t> </w:t>
            </w:r>
          </w:p>
        </w:tc>
        <w:tc>
          <w:tcPr>
            <w:tcW w:w="1610" w:type="dxa"/>
            <w:gridSpan w:val="4"/>
            <w:tcBorders>
              <w:top w:val="dotted" w:sz="2" w:space="0" w:color="000000"/>
              <w:left w:val="dotted" w:sz="2" w:space="0" w:color="000000"/>
              <w:right w:val="dotted" w:sz="2" w:space="0" w:color="000000"/>
            </w:tcBorders>
            <w:tcMar>
              <w:top w:w="28" w:type="dxa"/>
              <w:left w:w="28" w:type="dxa"/>
              <w:right w:w="28" w:type="dxa"/>
            </w:tcMar>
            <w:vAlign w:val="center"/>
          </w:tcPr>
          <w:p>
            <w:pPr>
              <w:pStyle w:val="TableContents"/>
              <w:bidi w:val="0"/>
              <w:spacing w:before="0" w:after="283"/>
              <w:jc w:val="left"/>
              <w:rPr/>
            </w:pPr>
            <w:r>
              <w:rPr/>
              <w:t> </w:t>
            </w:r>
          </w:p>
        </w:tc>
        <w:tc>
          <w:tcPr>
            <w:tcW w:w="1610" w:type="dxa"/>
            <w:gridSpan w:val="4"/>
            <w:tcBorders>
              <w:top w:val="dotted" w:sz="2" w:space="0" w:color="000000"/>
              <w:left w:val="dotted" w:sz="2" w:space="0" w:color="000000"/>
              <w:right w:val="dotted" w:sz="2" w:space="0" w:color="000000"/>
            </w:tcBorders>
            <w:tcMar>
              <w:top w:w="28" w:type="dxa"/>
              <w:left w:w="28" w:type="dxa"/>
              <w:right w:w="28" w:type="dxa"/>
            </w:tcMar>
            <w:vAlign w:val="center"/>
          </w:tcPr>
          <w:p>
            <w:pPr>
              <w:pStyle w:val="TableContents"/>
              <w:bidi w:val="0"/>
              <w:spacing w:before="0" w:after="283"/>
              <w:jc w:val="left"/>
              <w:rPr/>
            </w:pPr>
            <w:r>
              <w:rPr/>
              <w:t> </w:t>
            </w:r>
          </w:p>
        </w:tc>
        <w:tc>
          <w:tcPr>
            <w:tcW w:w="1160" w:type="dxa"/>
            <w:gridSpan w:val="4"/>
            <w:tcBorders>
              <w:top w:val="dotted" w:sz="2" w:space="0" w:color="000000"/>
              <w:left w:val="dotted" w:sz="2" w:space="0" w:color="000000"/>
              <w:right w:val="dotted"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930" w:type="dxa"/>
            <w:tcBorders>
              <w:left w:val="dotted" w:sz="2" w:space="0" w:color="000000"/>
              <w:bottom w:val="dotted" w:sz="2" w:space="0" w:color="000000"/>
              <w:right w:val="dotted" w:sz="2" w:space="0" w:color="000000"/>
            </w:tcBorders>
            <w:tcMar>
              <w:left w:w="160" w:type="dxa"/>
              <w:bottom w:w="28" w:type="dxa"/>
              <w:right w:w="28" w:type="dxa"/>
            </w:tcMar>
          </w:tcPr>
          <w:p>
            <w:pPr>
              <w:pStyle w:val="TableContents"/>
              <w:bidi w:val="0"/>
              <w:spacing w:before="0" w:after="283"/>
              <w:jc w:val="left"/>
              <w:rPr/>
            </w:pPr>
            <w:r>
              <w:rPr/>
              <w:t> </w:t>
            </w:r>
          </w:p>
        </w:tc>
        <w:tc>
          <w:tcPr>
            <w:tcW w:w="60" w:type="dxa"/>
            <w:tcBorders>
              <w:left w:val="dotted" w:sz="2" w:space="0" w:color="000000"/>
              <w:bottom w:val="dotted" w:sz="2" w:space="0" w:color="000000"/>
            </w:tcBorders>
            <w:tcMar>
              <w:left w:w="28" w:type="dxa"/>
              <w:bottom w:w="28" w:type="dxa"/>
            </w:tcMar>
            <w:vAlign w:val="bottom"/>
          </w:tcPr>
          <w:p>
            <w:pPr>
              <w:pStyle w:val="TableContents"/>
              <w:bidi w:val="0"/>
              <w:spacing w:before="0" w:after="283"/>
              <w:jc w:val="left"/>
              <w:rPr/>
            </w:pPr>
            <w:r>
              <w:rPr/>
              <w:t> </w:t>
            </w:r>
          </w:p>
        </w:tc>
        <w:tc>
          <w:tcPr>
            <w:tcW w:w="64" w:type="dxa"/>
            <w:tcBorders>
              <w:bottom w:val="dotted" w:sz="2" w:space="0" w:color="000000"/>
            </w:tcBorders>
            <w:tcMar>
              <w:bottom w:w="28" w:type="dxa"/>
            </w:tcMar>
            <w:vAlign w:val="bottom"/>
          </w:tcPr>
          <w:p>
            <w:pPr>
              <w:pStyle w:val="TableContents"/>
              <w:bidi w:val="0"/>
              <w:spacing w:before="0" w:after="283"/>
              <w:jc w:val="left"/>
              <w:rPr/>
            </w:pPr>
            <w:r>
              <w:rPr/>
              <w:t> </w:t>
            </w:r>
          </w:p>
        </w:tc>
        <w:tc>
          <w:tcPr>
            <w:tcW w:w="541" w:type="dxa"/>
            <w:tcBorders>
              <w:bottom w:val="dotted" w:sz="2" w:space="0" w:color="000000"/>
            </w:tcBorders>
            <w:tcMar>
              <w:bottom w:w="28" w:type="dxa"/>
            </w:tcMar>
            <w:vAlign w:val="bottom"/>
          </w:tcPr>
          <w:p>
            <w:pPr>
              <w:pStyle w:val="TableContents"/>
              <w:bidi w:val="0"/>
              <w:spacing w:before="0" w:after="283"/>
              <w:jc w:val="left"/>
              <w:rPr/>
            </w:pPr>
            <w:r>
              <w:rPr/>
              <w:t> </w:t>
            </w:r>
          </w:p>
        </w:tc>
        <w:tc>
          <w:tcPr>
            <w:tcW w:w="60" w:type="dxa"/>
            <w:tcBorders>
              <w:bottom w:val="dotted" w:sz="2" w:space="0" w:color="000000"/>
              <w:right w:val="dotted"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dotted" w:sz="2" w:space="0" w:color="000000"/>
              <w:bottom w:val="dotted" w:sz="2" w:space="0" w:color="000000"/>
            </w:tcBorders>
            <w:tcMar>
              <w:left w:w="28" w:type="dxa"/>
              <w:bottom w:w="28" w:type="dxa"/>
            </w:tcMar>
            <w:vAlign w:val="bottom"/>
          </w:tcPr>
          <w:p>
            <w:pPr>
              <w:pStyle w:val="TableContents"/>
              <w:bidi w:val="0"/>
              <w:spacing w:before="0" w:after="283"/>
              <w:jc w:val="left"/>
              <w:rPr/>
            </w:pPr>
            <w:r>
              <w:rPr/>
              <w:t> </w:t>
            </w:r>
          </w:p>
        </w:tc>
        <w:tc>
          <w:tcPr>
            <w:tcW w:w="60" w:type="dxa"/>
            <w:tcBorders>
              <w:bottom w:val="dotted" w:sz="2" w:space="0" w:color="000000"/>
            </w:tcBorders>
            <w:tcMar>
              <w:bottom w:w="28" w:type="dxa"/>
            </w:tcMar>
            <w:vAlign w:val="bottom"/>
          </w:tcPr>
          <w:p>
            <w:pPr>
              <w:pStyle w:val="TableContents"/>
              <w:bidi w:val="0"/>
              <w:spacing w:before="0" w:after="283"/>
              <w:jc w:val="left"/>
              <w:rPr/>
            </w:pPr>
            <w:r>
              <w:rPr/>
              <w:t> </w:t>
            </w:r>
          </w:p>
        </w:tc>
        <w:tc>
          <w:tcPr>
            <w:tcW w:w="800" w:type="dxa"/>
            <w:tcBorders>
              <w:bottom w:val="dotted" w:sz="2" w:space="0" w:color="000000"/>
            </w:tcBorders>
            <w:tcMar>
              <w:bottom w:w="28" w:type="dxa"/>
            </w:tcMar>
            <w:vAlign w:val="bottom"/>
          </w:tcPr>
          <w:p>
            <w:pPr>
              <w:pStyle w:val="TableContents"/>
              <w:bidi w:val="0"/>
              <w:spacing w:before="0" w:after="283"/>
              <w:jc w:val="left"/>
              <w:rPr/>
            </w:pPr>
            <w:r>
              <w:rPr/>
              <w:t> </w:t>
            </w:r>
          </w:p>
        </w:tc>
        <w:tc>
          <w:tcPr>
            <w:tcW w:w="60" w:type="dxa"/>
            <w:tcBorders>
              <w:bottom w:val="dotted" w:sz="2" w:space="0" w:color="000000"/>
              <w:right w:val="dotted"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dotted" w:sz="2" w:space="0" w:color="000000"/>
              <w:bottom w:val="dotted" w:sz="2" w:space="0" w:color="000000"/>
            </w:tcBorders>
            <w:tcMar>
              <w:left w:w="28" w:type="dxa"/>
              <w:bottom w:w="28" w:type="dxa"/>
            </w:tcMar>
            <w:vAlign w:val="bottom"/>
          </w:tcPr>
          <w:p>
            <w:pPr>
              <w:pStyle w:val="TableContents"/>
              <w:bidi w:val="0"/>
              <w:spacing w:before="0" w:after="283"/>
              <w:jc w:val="left"/>
              <w:rPr/>
            </w:pPr>
            <w:r>
              <w:rPr/>
              <w:t> </w:t>
            </w:r>
          </w:p>
        </w:tc>
        <w:tc>
          <w:tcPr>
            <w:tcW w:w="60" w:type="dxa"/>
            <w:tcBorders>
              <w:bottom w:val="dotted" w:sz="2" w:space="0" w:color="000000"/>
            </w:tcBorders>
            <w:tcMar>
              <w:bottom w:w="28" w:type="dxa"/>
            </w:tcMar>
            <w:vAlign w:val="bottom"/>
          </w:tcPr>
          <w:p>
            <w:pPr>
              <w:pStyle w:val="TableContents"/>
              <w:bidi w:val="0"/>
              <w:spacing w:before="0" w:after="283"/>
              <w:jc w:val="left"/>
              <w:rPr/>
            </w:pPr>
            <w:r>
              <w:rPr/>
              <w:t> </w:t>
            </w:r>
          </w:p>
        </w:tc>
        <w:tc>
          <w:tcPr>
            <w:tcW w:w="980" w:type="dxa"/>
            <w:tcBorders>
              <w:bottom w:val="dotted" w:sz="2" w:space="0" w:color="000000"/>
            </w:tcBorders>
            <w:tcMar>
              <w:bottom w:w="28" w:type="dxa"/>
            </w:tcMar>
            <w:vAlign w:val="bottom"/>
          </w:tcPr>
          <w:p>
            <w:pPr>
              <w:pStyle w:val="TableContents"/>
              <w:bidi w:val="0"/>
              <w:spacing w:before="0" w:after="283"/>
              <w:jc w:val="left"/>
              <w:rPr/>
            </w:pPr>
            <w:r>
              <w:rPr/>
              <w:t> </w:t>
            </w:r>
          </w:p>
        </w:tc>
        <w:tc>
          <w:tcPr>
            <w:tcW w:w="60" w:type="dxa"/>
            <w:tcBorders>
              <w:bottom w:val="dotted" w:sz="2" w:space="0" w:color="000000"/>
              <w:right w:val="dotted"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dotted" w:sz="2" w:space="0" w:color="000000"/>
              <w:bottom w:val="dotted" w:sz="2" w:space="0" w:color="000000"/>
            </w:tcBorders>
            <w:tcMar>
              <w:left w:w="28" w:type="dxa"/>
              <w:bottom w:w="28" w:type="dxa"/>
            </w:tcMar>
            <w:vAlign w:val="bottom"/>
          </w:tcPr>
          <w:p>
            <w:pPr>
              <w:pStyle w:val="TableContents"/>
              <w:bidi w:val="0"/>
              <w:spacing w:before="0" w:after="283"/>
              <w:jc w:val="left"/>
              <w:rPr/>
            </w:pPr>
            <w:r>
              <w:rPr/>
              <w:t> </w:t>
            </w:r>
          </w:p>
        </w:tc>
        <w:tc>
          <w:tcPr>
            <w:tcW w:w="60" w:type="dxa"/>
            <w:tcBorders>
              <w:bottom w:val="dotted" w:sz="2" w:space="0" w:color="000000"/>
            </w:tcBorders>
            <w:tcMar>
              <w:bottom w:w="28" w:type="dxa"/>
            </w:tcMar>
            <w:vAlign w:val="bottom"/>
          </w:tcPr>
          <w:p>
            <w:pPr>
              <w:pStyle w:val="TableContents"/>
              <w:bidi w:val="0"/>
              <w:spacing w:before="0" w:after="283"/>
              <w:jc w:val="left"/>
              <w:rPr/>
            </w:pPr>
            <w:r>
              <w:rPr/>
              <w:t> </w:t>
            </w:r>
          </w:p>
        </w:tc>
        <w:tc>
          <w:tcPr>
            <w:tcW w:w="800" w:type="dxa"/>
            <w:tcBorders>
              <w:bottom w:val="dotted" w:sz="2" w:space="0" w:color="000000"/>
            </w:tcBorders>
            <w:tcMar>
              <w:bottom w:w="28" w:type="dxa"/>
            </w:tcMar>
            <w:vAlign w:val="bottom"/>
          </w:tcPr>
          <w:p>
            <w:pPr>
              <w:pStyle w:val="TableContents"/>
              <w:bidi w:val="0"/>
              <w:spacing w:before="0" w:after="283"/>
              <w:jc w:val="left"/>
              <w:rPr/>
            </w:pPr>
            <w:r>
              <w:rPr/>
              <w:t> </w:t>
            </w:r>
          </w:p>
        </w:tc>
        <w:tc>
          <w:tcPr>
            <w:tcW w:w="60" w:type="dxa"/>
            <w:tcBorders>
              <w:bottom w:val="dotted" w:sz="2" w:space="0" w:color="000000"/>
              <w:right w:val="dotted"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dotted" w:sz="2" w:space="0" w:color="000000"/>
              <w:bottom w:val="dotted" w:sz="2" w:space="0" w:color="000000"/>
            </w:tcBorders>
            <w:tcMar>
              <w:left w:w="28" w:type="dxa"/>
              <w:bottom w:w="28" w:type="dxa"/>
            </w:tcMar>
            <w:vAlign w:val="bottom"/>
          </w:tcPr>
          <w:p>
            <w:pPr>
              <w:pStyle w:val="TableContents"/>
              <w:bidi w:val="0"/>
              <w:spacing w:before="0" w:after="283"/>
              <w:jc w:val="left"/>
              <w:rPr/>
            </w:pPr>
            <w:r>
              <w:rPr/>
              <w:t> </w:t>
            </w:r>
          </w:p>
        </w:tc>
        <w:tc>
          <w:tcPr>
            <w:tcW w:w="88" w:type="dxa"/>
            <w:tcBorders>
              <w:bottom w:val="dotted" w:sz="2" w:space="0" w:color="000000"/>
            </w:tcBorders>
            <w:tcMar>
              <w:bottom w:w="28" w:type="dxa"/>
            </w:tcMar>
            <w:vAlign w:val="bottom"/>
          </w:tcPr>
          <w:p>
            <w:pPr>
              <w:pStyle w:val="TableContents"/>
              <w:bidi w:val="0"/>
              <w:spacing w:before="0" w:after="283"/>
              <w:jc w:val="left"/>
              <w:rPr/>
            </w:pPr>
            <w:r>
              <w:rPr/>
              <w:t> </w:t>
            </w:r>
          </w:p>
        </w:tc>
        <w:tc>
          <w:tcPr>
            <w:tcW w:w="1402" w:type="dxa"/>
            <w:tcBorders>
              <w:bottom w:val="dotted" w:sz="2" w:space="0" w:color="000000"/>
            </w:tcBorders>
            <w:tcMar>
              <w:bottom w:w="28" w:type="dxa"/>
            </w:tcMar>
            <w:vAlign w:val="bottom"/>
          </w:tcPr>
          <w:p>
            <w:pPr>
              <w:pStyle w:val="TableContents"/>
              <w:bidi w:val="0"/>
              <w:spacing w:before="0" w:after="283"/>
              <w:jc w:val="left"/>
              <w:rPr/>
            </w:pPr>
            <w:r>
              <w:rPr/>
              <w:t> </w:t>
            </w:r>
          </w:p>
        </w:tc>
        <w:tc>
          <w:tcPr>
            <w:tcW w:w="60" w:type="dxa"/>
            <w:tcBorders>
              <w:bottom w:val="dotted" w:sz="2" w:space="0" w:color="000000"/>
              <w:right w:val="dotted"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dotted" w:sz="2" w:space="0" w:color="000000"/>
              <w:bottom w:val="dotted" w:sz="2" w:space="0" w:color="000000"/>
            </w:tcBorders>
            <w:tcMar>
              <w:left w:w="28" w:type="dxa"/>
              <w:bottom w:w="28" w:type="dxa"/>
            </w:tcMar>
            <w:vAlign w:val="bottom"/>
          </w:tcPr>
          <w:p>
            <w:pPr>
              <w:pStyle w:val="TableContents"/>
              <w:bidi w:val="0"/>
              <w:spacing w:before="0" w:after="283"/>
              <w:jc w:val="left"/>
              <w:rPr/>
            </w:pPr>
            <w:r>
              <w:rPr/>
              <w:t> </w:t>
            </w:r>
          </w:p>
        </w:tc>
        <w:tc>
          <w:tcPr>
            <w:tcW w:w="144" w:type="dxa"/>
            <w:tcBorders>
              <w:bottom w:val="dotted" w:sz="2" w:space="0" w:color="000000"/>
            </w:tcBorders>
            <w:tcMar>
              <w:bottom w:w="28" w:type="dxa"/>
            </w:tcMar>
            <w:vAlign w:val="bottom"/>
          </w:tcPr>
          <w:p>
            <w:pPr>
              <w:pStyle w:val="TableContents"/>
              <w:bidi w:val="0"/>
              <w:spacing w:before="0" w:after="283"/>
              <w:jc w:val="left"/>
              <w:rPr/>
            </w:pPr>
            <w:r>
              <w:rPr/>
              <w:t> </w:t>
            </w:r>
          </w:p>
        </w:tc>
        <w:tc>
          <w:tcPr>
            <w:tcW w:w="1346" w:type="dxa"/>
            <w:tcBorders>
              <w:bottom w:val="dotted" w:sz="2" w:space="0" w:color="000000"/>
            </w:tcBorders>
            <w:tcMar>
              <w:bottom w:w="28" w:type="dxa"/>
            </w:tcMar>
            <w:vAlign w:val="bottom"/>
          </w:tcPr>
          <w:p>
            <w:pPr>
              <w:pStyle w:val="TableContents"/>
              <w:bidi w:val="0"/>
              <w:spacing w:before="0" w:after="283"/>
              <w:jc w:val="left"/>
              <w:rPr/>
            </w:pPr>
            <w:r>
              <w:rPr/>
              <w:t> </w:t>
            </w:r>
          </w:p>
        </w:tc>
        <w:tc>
          <w:tcPr>
            <w:tcW w:w="60" w:type="dxa"/>
            <w:tcBorders>
              <w:bottom w:val="dotted" w:sz="2" w:space="0" w:color="000000"/>
              <w:right w:val="dotted"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dotted" w:sz="2" w:space="0" w:color="000000"/>
              <w:bottom w:val="dotted" w:sz="2" w:space="0" w:color="000000"/>
            </w:tcBorders>
            <w:tcMar>
              <w:left w:w="28" w:type="dxa"/>
              <w:bottom w:w="28" w:type="dxa"/>
            </w:tcMar>
            <w:vAlign w:val="bottom"/>
          </w:tcPr>
          <w:p>
            <w:pPr>
              <w:pStyle w:val="TableContents"/>
              <w:bidi w:val="0"/>
              <w:spacing w:before="0" w:after="283"/>
              <w:jc w:val="left"/>
              <w:rPr/>
            </w:pPr>
            <w:r>
              <w:rPr/>
              <w:t> </w:t>
            </w:r>
          </w:p>
        </w:tc>
        <w:tc>
          <w:tcPr>
            <w:tcW w:w="60" w:type="dxa"/>
            <w:tcBorders>
              <w:bottom w:val="dotted" w:sz="2" w:space="0" w:color="000000"/>
            </w:tcBorders>
            <w:tcMar>
              <w:bottom w:w="28" w:type="dxa"/>
            </w:tcMar>
            <w:vAlign w:val="bottom"/>
          </w:tcPr>
          <w:p>
            <w:pPr>
              <w:pStyle w:val="TableContents"/>
              <w:bidi w:val="0"/>
              <w:spacing w:before="0" w:after="283"/>
              <w:jc w:val="left"/>
              <w:rPr/>
            </w:pPr>
            <w:r>
              <w:rPr/>
              <w:t> </w:t>
            </w:r>
          </w:p>
        </w:tc>
        <w:tc>
          <w:tcPr>
            <w:tcW w:w="980" w:type="dxa"/>
            <w:tcBorders>
              <w:bottom w:val="dotted" w:sz="2" w:space="0" w:color="000000"/>
            </w:tcBorders>
            <w:tcMar>
              <w:bottom w:w="28" w:type="dxa"/>
            </w:tcMar>
            <w:vAlign w:val="bottom"/>
          </w:tcPr>
          <w:p>
            <w:pPr>
              <w:pStyle w:val="TableContents"/>
              <w:bidi w:val="0"/>
              <w:spacing w:before="0" w:after="283"/>
              <w:jc w:val="left"/>
              <w:rPr/>
            </w:pPr>
            <w:r>
              <w:rPr/>
              <w:t> </w:t>
            </w:r>
          </w:p>
        </w:tc>
        <w:tc>
          <w:tcPr>
            <w:tcW w:w="60" w:type="dxa"/>
            <w:tcBorders>
              <w:bottom w:val="dotted" w:sz="2" w:space="0" w:color="000000"/>
              <w:right w:val="dotted" w:sz="2" w:space="0" w:color="000000"/>
            </w:tcBorders>
            <w:tcMar>
              <w:bottom w:w="28" w:type="dxa"/>
              <w:right w:w="40" w:type="dxa"/>
            </w:tcMar>
            <w:vAlign w:val="bottom"/>
          </w:tcPr>
          <w:p>
            <w:pPr>
              <w:pStyle w:val="TableContents"/>
              <w:bidi w:val="0"/>
              <w:spacing w:before="0" w:after="283"/>
              <w:jc w:val="left"/>
              <w:rPr/>
            </w:pPr>
            <w:r>
              <w:rPr/>
              <w:t> </w:t>
            </w:r>
          </w:p>
        </w:tc>
      </w:tr>
      <w:tr>
        <w:trPr/>
        <w:tc>
          <w:tcPr>
            <w:tcW w:w="2930" w:type="dxa"/>
            <w:tcBorders>
              <w:top w:val="dotted" w:sz="2" w:space="0" w:color="000000"/>
              <w:left w:val="dotted" w:sz="2" w:space="0" w:color="000000"/>
              <w:right w:val="dotted" w:sz="2" w:space="0" w:color="000000"/>
            </w:tcBorders>
            <w:tcMar>
              <w:top w:w="28" w:type="dxa"/>
              <w:left w:w="160" w:type="dxa"/>
              <w:right w:w="28" w:type="dxa"/>
            </w:tcMar>
            <w:vAlign w:val="bottom"/>
          </w:tcPr>
          <w:p>
            <w:pPr>
              <w:pStyle w:val="TableContents"/>
              <w:bidi w:val="0"/>
              <w:spacing w:before="0" w:after="283"/>
              <w:jc w:val="left"/>
              <w:rPr>
                <w:b/>
              </w:rPr>
            </w:pPr>
            <w:r>
              <w:rPr>
                <w:b/>
              </w:rPr>
              <w:t>Name and Principal Position</w:t>
            </w:r>
          </w:p>
        </w:tc>
        <w:tc>
          <w:tcPr>
            <w:tcW w:w="60" w:type="dxa"/>
            <w:tcBorders>
              <w:top w:val="dotted" w:sz="2" w:space="0" w:color="000000"/>
              <w:left w:val="dotted" w:sz="2" w:space="0" w:color="000000"/>
            </w:tcBorders>
            <w:tcMar>
              <w:top w:w="28" w:type="dxa"/>
              <w:left w:w="28" w:type="dxa"/>
            </w:tcMar>
            <w:vAlign w:val="bottom"/>
          </w:tcPr>
          <w:p>
            <w:pPr>
              <w:pStyle w:val="TableContents"/>
              <w:bidi w:val="0"/>
              <w:spacing w:before="0" w:after="283"/>
              <w:jc w:val="left"/>
              <w:rPr/>
            </w:pPr>
            <w:r>
              <w:rPr/>
              <w:t> </w:t>
            </w:r>
          </w:p>
        </w:tc>
        <w:tc>
          <w:tcPr>
            <w:tcW w:w="605" w:type="dxa"/>
            <w:gridSpan w:val="2"/>
            <w:tcBorders>
              <w:top w:val="dotted" w:sz="2" w:space="0" w:color="000000"/>
            </w:tcBorders>
            <w:tcMar>
              <w:top w:w="28" w:type="dxa"/>
            </w:tcMar>
            <w:vAlign w:val="bottom"/>
          </w:tcPr>
          <w:p>
            <w:pPr>
              <w:pStyle w:val="TableContents"/>
              <w:bidi w:val="0"/>
              <w:spacing w:before="0" w:after="283"/>
              <w:jc w:val="center"/>
              <w:rPr>
                <w:b/>
              </w:rPr>
            </w:pPr>
            <w:r>
              <w:rPr>
                <w:b/>
              </w:rPr>
              <w:t>Fiscal</w:t>
              <w:br/>
              <w:t>Year</w:t>
            </w:r>
          </w:p>
        </w:tc>
        <w:tc>
          <w:tcPr>
            <w:tcW w:w="60" w:type="dxa"/>
            <w:tcBorders>
              <w:top w:val="dotted" w:sz="2" w:space="0" w:color="000000"/>
              <w:right w:val="dotted" w:sz="2" w:space="0" w:color="000000"/>
            </w:tcBorders>
            <w:tcMar>
              <w:top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tcBorders>
            <w:tcMar>
              <w:top w:w="28" w:type="dxa"/>
              <w:left w:w="28" w:type="dxa"/>
            </w:tcMar>
            <w:vAlign w:val="bottom"/>
          </w:tcPr>
          <w:p>
            <w:pPr>
              <w:pStyle w:val="TableContents"/>
              <w:bidi w:val="0"/>
              <w:spacing w:before="0" w:after="283"/>
              <w:jc w:val="left"/>
              <w:rPr/>
            </w:pPr>
            <w:r>
              <w:rPr/>
              <w:t> </w:t>
            </w:r>
          </w:p>
        </w:tc>
        <w:tc>
          <w:tcPr>
            <w:tcW w:w="860" w:type="dxa"/>
            <w:gridSpan w:val="2"/>
            <w:tcBorders>
              <w:top w:val="dotted" w:sz="2" w:space="0" w:color="000000"/>
            </w:tcBorders>
            <w:tcMar>
              <w:top w:w="28" w:type="dxa"/>
            </w:tcMar>
            <w:vAlign w:val="bottom"/>
          </w:tcPr>
          <w:p>
            <w:pPr>
              <w:pStyle w:val="TableContents"/>
              <w:bidi w:val="0"/>
              <w:spacing w:before="0" w:after="283"/>
              <w:jc w:val="center"/>
              <w:rPr>
                <w:b/>
              </w:rPr>
            </w:pPr>
            <w:r>
              <w:rPr>
                <w:b/>
              </w:rPr>
              <w:t>Salary</w:t>
              <w:br/>
              <w:t>($)(1)</w:t>
            </w:r>
          </w:p>
        </w:tc>
        <w:tc>
          <w:tcPr>
            <w:tcW w:w="60" w:type="dxa"/>
            <w:tcBorders>
              <w:top w:val="dotted" w:sz="2" w:space="0" w:color="000000"/>
              <w:right w:val="dotted" w:sz="2" w:space="0" w:color="000000"/>
            </w:tcBorders>
            <w:tcMar>
              <w:top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tcBorders>
            <w:tcMar>
              <w:top w:w="28" w:type="dxa"/>
              <w:left w:w="28" w:type="dxa"/>
            </w:tcMar>
            <w:vAlign w:val="bottom"/>
          </w:tcPr>
          <w:p>
            <w:pPr>
              <w:pStyle w:val="TableContents"/>
              <w:bidi w:val="0"/>
              <w:spacing w:before="0" w:after="283"/>
              <w:jc w:val="left"/>
              <w:rPr/>
            </w:pPr>
            <w:r>
              <w:rPr/>
              <w:t> </w:t>
            </w:r>
          </w:p>
        </w:tc>
        <w:tc>
          <w:tcPr>
            <w:tcW w:w="1040" w:type="dxa"/>
            <w:gridSpan w:val="2"/>
            <w:tcBorders>
              <w:top w:val="dotted" w:sz="2" w:space="0" w:color="000000"/>
            </w:tcBorders>
            <w:tcMar>
              <w:top w:w="28" w:type="dxa"/>
            </w:tcMar>
            <w:vAlign w:val="bottom"/>
          </w:tcPr>
          <w:p>
            <w:pPr>
              <w:pStyle w:val="TableContents"/>
              <w:bidi w:val="0"/>
              <w:spacing w:before="0" w:after="283"/>
              <w:jc w:val="center"/>
              <w:rPr>
                <w:b/>
              </w:rPr>
            </w:pPr>
            <w:r>
              <w:rPr>
                <w:b/>
              </w:rPr>
              <w:t>Stock</w:t>
              <w:br/>
              <w:t>Awards</w:t>
              <w:br/>
              <w:t>($)(2)</w:t>
            </w:r>
          </w:p>
        </w:tc>
        <w:tc>
          <w:tcPr>
            <w:tcW w:w="60" w:type="dxa"/>
            <w:tcBorders>
              <w:top w:val="dotted" w:sz="2" w:space="0" w:color="000000"/>
              <w:right w:val="dotted" w:sz="2" w:space="0" w:color="000000"/>
            </w:tcBorders>
            <w:tcMar>
              <w:top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tcBorders>
            <w:tcMar>
              <w:top w:w="28" w:type="dxa"/>
              <w:left w:w="28" w:type="dxa"/>
            </w:tcMar>
            <w:vAlign w:val="bottom"/>
          </w:tcPr>
          <w:p>
            <w:pPr>
              <w:pStyle w:val="TableContents"/>
              <w:bidi w:val="0"/>
              <w:spacing w:before="0" w:after="283"/>
              <w:jc w:val="left"/>
              <w:rPr/>
            </w:pPr>
            <w:r>
              <w:rPr/>
              <w:t> </w:t>
            </w:r>
          </w:p>
        </w:tc>
        <w:tc>
          <w:tcPr>
            <w:tcW w:w="860" w:type="dxa"/>
            <w:gridSpan w:val="2"/>
            <w:tcBorders>
              <w:top w:val="dotted" w:sz="2" w:space="0" w:color="000000"/>
            </w:tcBorders>
            <w:tcMar>
              <w:top w:w="28" w:type="dxa"/>
            </w:tcMar>
            <w:vAlign w:val="bottom"/>
          </w:tcPr>
          <w:p>
            <w:pPr>
              <w:pStyle w:val="TableContents"/>
              <w:bidi w:val="0"/>
              <w:spacing w:before="0" w:after="283"/>
              <w:jc w:val="center"/>
              <w:rPr>
                <w:b/>
              </w:rPr>
            </w:pPr>
            <w:r>
              <w:rPr>
                <w:b/>
              </w:rPr>
              <w:t>Option</w:t>
              <w:br/>
              <w:t>Awards</w:t>
              <w:br/>
              <w:t>($)(3)</w:t>
            </w:r>
          </w:p>
        </w:tc>
        <w:tc>
          <w:tcPr>
            <w:tcW w:w="60" w:type="dxa"/>
            <w:tcBorders>
              <w:top w:val="dotted" w:sz="2" w:space="0" w:color="000000"/>
              <w:right w:val="dotted" w:sz="2" w:space="0" w:color="000000"/>
            </w:tcBorders>
            <w:tcMar>
              <w:top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tcBorders>
            <w:tcMar>
              <w:top w:w="28" w:type="dxa"/>
              <w:left w:w="28" w:type="dxa"/>
            </w:tcMar>
            <w:vAlign w:val="bottom"/>
          </w:tcPr>
          <w:p>
            <w:pPr>
              <w:pStyle w:val="TableContents"/>
              <w:bidi w:val="0"/>
              <w:spacing w:before="0" w:after="283"/>
              <w:jc w:val="left"/>
              <w:rPr/>
            </w:pPr>
            <w:r>
              <w:rPr/>
              <w:t> </w:t>
            </w:r>
          </w:p>
        </w:tc>
        <w:tc>
          <w:tcPr>
            <w:tcW w:w="1490" w:type="dxa"/>
            <w:gridSpan w:val="2"/>
            <w:tcBorders>
              <w:top w:val="dotted" w:sz="2" w:space="0" w:color="000000"/>
            </w:tcBorders>
            <w:tcMar>
              <w:top w:w="28" w:type="dxa"/>
            </w:tcMar>
            <w:vAlign w:val="bottom"/>
          </w:tcPr>
          <w:p>
            <w:pPr>
              <w:pStyle w:val="TableContents"/>
              <w:bidi w:val="0"/>
              <w:spacing w:before="0" w:after="283"/>
              <w:jc w:val="center"/>
              <w:rPr>
                <w:b/>
              </w:rPr>
            </w:pPr>
            <w:r>
              <w:rPr>
                <w:b/>
              </w:rPr>
              <w:t>Non-Equity</w:t>
              <w:br/>
              <w:t>Incentive Plan</w:t>
              <w:br/>
              <w:t>Compensation</w:t>
              <w:br/>
              <w:t>($)(4)</w:t>
            </w:r>
          </w:p>
        </w:tc>
        <w:tc>
          <w:tcPr>
            <w:tcW w:w="60" w:type="dxa"/>
            <w:tcBorders>
              <w:top w:val="dotted" w:sz="2" w:space="0" w:color="000000"/>
              <w:right w:val="dotted" w:sz="2" w:space="0" w:color="000000"/>
            </w:tcBorders>
            <w:tcMar>
              <w:top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tcBorders>
            <w:tcMar>
              <w:top w:w="28" w:type="dxa"/>
              <w:left w:w="28" w:type="dxa"/>
            </w:tcMar>
            <w:vAlign w:val="bottom"/>
          </w:tcPr>
          <w:p>
            <w:pPr>
              <w:pStyle w:val="TableContents"/>
              <w:bidi w:val="0"/>
              <w:spacing w:before="0" w:after="283"/>
              <w:jc w:val="left"/>
              <w:rPr/>
            </w:pPr>
            <w:r>
              <w:rPr/>
              <w:t> </w:t>
            </w:r>
          </w:p>
        </w:tc>
        <w:tc>
          <w:tcPr>
            <w:tcW w:w="1490" w:type="dxa"/>
            <w:gridSpan w:val="2"/>
            <w:tcBorders>
              <w:top w:val="dotted" w:sz="2" w:space="0" w:color="000000"/>
            </w:tcBorders>
            <w:tcMar>
              <w:top w:w="28" w:type="dxa"/>
            </w:tcMar>
            <w:vAlign w:val="bottom"/>
          </w:tcPr>
          <w:p>
            <w:pPr>
              <w:pStyle w:val="TableContents"/>
              <w:bidi w:val="0"/>
              <w:spacing w:before="0" w:after="283"/>
              <w:jc w:val="center"/>
              <w:rPr>
                <w:b/>
              </w:rPr>
            </w:pPr>
            <w:r>
              <w:rPr>
                <w:b/>
              </w:rPr>
              <w:t>All Other</w:t>
              <w:br/>
              <w:t>Compensation</w:t>
              <w:br/>
              <w:t>($)(5)</w:t>
            </w:r>
          </w:p>
        </w:tc>
        <w:tc>
          <w:tcPr>
            <w:tcW w:w="60" w:type="dxa"/>
            <w:tcBorders>
              <w:top w:val="dotted" w:sz="2" w:space="0" w:color="000000"/>
              <w:right w:val="dotted" w:sz="2" w:space="0" w:color="000000"/>
            </w:tcBorders>
            <w:tcMar>
              <w:top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tcBorders>
            <w:tcMar>
              <w:top w:w="28" w:type="dxa"/>
              <w:left w:w="28" w:type="dxa"/>
            </w:tcMar>
            <w:vAlign w:val="bottom"/>
          </w:tcPr>
          <w:p>
            <w:pPr>
              <w:pStyle w:val="TableContents"/>
              <w:bidi w:val="0"/>
              <w:spacing w:before="0" w:after="283"/>
              <w:jc w:val="left"/>
              <w:rPr/>
            </w:pPr>
            <w:r>
              <w:rPr/>
              <w:t> </w:t>
            </w:r>
          </w:p>
        </w:tc>
        <w:tc>
          <w:tcPr>
            <w:tcW w:w="1040" w:type="dxa"/>
            <w:gridSpan w:val="2"/>
            <w:tcBorders>
              <w:top w:val="dotted" w:sz="2" w:space="0" w:color="000000"/>
            </w:tcBorders>
            <w:tcMar>
              <w:top w:w="28" w:type="dxa"/>
            </w:tcMar>
            <w:vAlign w:val="bottom"/>
          </w:tcPr>
          <w:p>
            <w:pPr>
              <w:pStyle w:val="TableContents"/>
              <w:bidi w:val="0"/>
              <w:spacing w:before="0" w:after="283"/>
              <w:jc w:val="center"/>
              <w:rPr>
                <w:b/>
              </w:rPr>
            </w:pPr>
            <w:r>
              <w:rPr>
                <w:b/>
              </w:rPr>
              <w:t>Total ($)</w:t>
            </w:r>
          </w:p>
        </w:tc>
        <w:tc>
          <w:tcPr>
            <w:tcW w:w="60" w:type="dxa"/>
            <w:tcBorders>
              <w:top w:val="dotted" w:sz="2" w:space="0" w:color="000000"/>
              <w:right w:val="dotted" w:sz="2" w:space="0" w:color="000000"/>
            </w:tcBorders>
            <w:tcMar>
              <w:top w:w="28" w:type="dxa"/>
              <w:right w:w="40" w:type="dxa"/>
            </w:tcMar>
            <w:vAlign w:val="bottom"/>
          </w:tcPr>
          <w:p>
            <w:pPr>
              <w:pStyle w:val="TableContents"/>
              <w:bidi w:val="0"/>
              <w:spacing w:before="0" w:after="283"/>
              <w:jc w:val="left"/>
              <w:rPr/>
            </w:pPr>
            <w:r>
              <w:rPr/>
              <w:t> </w:t>
            </w:r>
          </w:p>
        </w:tc>
      </w:tr>
      <w:tr>
        <w:trPr/>
        <w:tc>
          <w:tcPr>
            <w:tcW w:w="2930" w:type="dxa"/>
            <w:tcBorders>
              <w:left w:val="dotted" w:sz="2" w:space="0" w:color="000000"/>
            </w:tcBorders>
            <w:tcMar>
              <w:left w:w="160" w:type="dxa"/>
            </w:tcMar>
            <w:vAlign w:val="bottom"/>
          </w:tcPr>
          <w:p>
            <w:pPr>
              <w:pStyle w:val="TableContents"/>
              <w:bidi w:val="0"/>
              <w:spacing w:before="0" w:after="283"/>
              <w:jc w:val="left"/>
              <w:rPr/>
            </w:pPr>
            <w:r>
              <w:rPr/>
              <w:t> </w:t>
            </w:r>
          </w:p>
        </w:tc>
        <w:tc>
          <w:tcPr>
            <w:tcW w:w="60" w:type="dxa"/>
            <w:tcBorders>
              <w:left w:val="dotted" w:sz="2" w:space="0" w:color="000000"/>
            </w:tcBorders>
            <w:tcMar>
              <w:left w:w="28" w:type="dxa"/>
            </w:tcMar>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541" w:type="dxa"/>
            <w:tcBorders/>
            <w:vAlign w:val="bottom"/>
          </w:tcPr>
          <w:p>
            <w:pPr>
              <w:pStyle w:val="TableContents"/>
              <w:pBdr>
                <w:top w:val="single" w:sz="2" w:space="1" w:color="000000"/>
              </w:pBdr>
              <w:bidi w:val="0"/>
              <w:spacing w:before="0" w:after="0"/>
              <w:jc w:val="left"/>
              <w:rPr/>
            </w:pPr>
            <w:r>
              <w:rPr/>
              <w:t> </w:t>
            </w:r>
          </w:p>
        </w:tc>
        <w:tc>
          <w:tcPr>
            <w:tcW w:w="60" w:type="dxa"/>
            <w:tcBorders>
              <w:right w:val="dotted"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right w:val="dotted"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right w:val="dotted"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right w:val="dotted"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pBdr>
                <w:top w:val="single" w:sz="2" w:space="1" w:color="000000"/>
              </w:pBdr>
              <w:bidi w:val="0"/>
              <w:spacing w:before="0" w:after="0"/>
              <w:jc w:val="left"/>
              <w:rPr/>
            </w:pPr>
            <w:r>
              <w:rPr/>
              <w:t> </w:t>
            </w:r>
          </w:p>
        </w:tc>
        <w:tc>
          <w:tcPr>
            <w:tcW w:w="1402" w:type="dxa"/>
            <w:tcBorders/>
            <w:vAlign w:val="bottom"/>
          </w:tcPr>
          <w:p>
            <w:pPr>
              <w:pStyle w:val="TableContents"/>
              <w:pBdr>
                <w:top w:val="single" w:sz="2" w:space="1" w:color="000000"/>
              </w:pBdr>
              <w:bidi w:val="0"/>
              <w:spacing w:before="0" w:after="0"/>
              <w:jc w:val="left"/>
              <w:rPr/>
            </w:pPr>
            <w:r>
              <w:rPr/>
              <w:t> </w:t>
            </w:r>
          </w:p>
        </w:tc>
        <w:tc>
          <w:tcPr>
            <w:tcW w:w="60" w:type="dxa"/>
            <w:tcBorders>
              <w:right w:val="dotted"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60" w:type="dxa"/>
            <w:tcBorders>
              <w:right w:val="dotted"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right w:val="dotted" w:sz="2" w:space="0" w:color="000000"/>
            </w:tcBorders>
            <w:tcMar>
              <w:right w:w="40" w:type="dxa"/>
            </w:tcMar>
            <w:vAlign w:val="bottom"/>
          </w:tcPr>
          <w:p>
            <w:pPr>
              <w:pStyle w:val="TableContents"/>
              <w:bidi w:val="0"/>
              <w:spacing w:before="0" w:after="283"/>
              <w:jc w:val="left"/>
              <w:rPr/>
            </w:pPr>
            <w:r>
              <w:rPr/>
              <w:t> </w:t>
            </w:r>
          </w:p>
        </w:tc>
      </w:tr>
      <w:tr>
        <w:trPr/>
        <w:tc>
          <w:tcPr>
            <w:tcW w:w="2930" w:type="dxa"/>
            <w:tcBorders>
              <w:top w:val="dotted" w:sz="2" w:space="0" w:color="000000"/>
              <w:left w:val="dotted" w:sz="2" w:space="0" w:color="000000"/>
              <w:bottom w:val="dotted" w:sz="2" w:space="0" w:color="000000"/>
              <w:right w:val="dotted" w:sz="2" w:space="0" w:color="000000"/>
            </w:tcBorders>
            <w:tcMar>
              <w:top w:w="28" w:type="dxa"/>
              <w:left w:w="160" w:type="dxa"/>
              <w:bottom w:w="6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Scott Hutton</w:t>
            </w:r>
          </w:p>
          <w:p>
            <w:pPr>
              <w:pStyle w:val="TableContents"/>
              <w:bidi w:val="0"/>
              <w:spacing w:before="0" w:after="20"/>
              <w:jc w:val="left"/>
              <w:rPr>
                <w:rFonts w:ascii="Times New Roman" w:hAnsi="Times New Roman"/>
                <w:sz w:val="20"/>
              </w:rPr>
            </w:pPr>
            <w:r>
              <w:rPr>
                <w:rFonts w:ascii="Times New Roman" w:hAnsi="Times New Roman"/>
                <w:sz w:val="20"/>
              </w:rPr>
              <w:t>President and Chief</w:t>
              <w:br/>
              <w:t>Executive Officer</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4"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541"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2023</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80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515,000</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98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1,442,001</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80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233,622</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88"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1402"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98,058(6)</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144"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1346"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1,865</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98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2,290,546</w:t>
            </w:r>
          </w:p>
        </w:tc>
        <w:tc>
          <w:tcPr>
            <w:tcW w:w="60" w:type="dxa"/>
            <w:tcBorders>
              <w:top w:val="dotted" w:sz="2" w:space="0" w:color="000000"/>
              <w:bottom w:val="dotted" w:sz="2" w:space="0" w:color="000000"/>
              <w:right w:val="dotted" w:sz="2" w:space="0" w:color="000000"/>
            </w:tcBorders>
            <w:tcMar>
              <w:top w:w="28" w:type="dxa"/>
              <w:bottom w:w="60" w:type="dxa"/>
              <w:right w:w="40" w:type="dxa"/>
            </w:tcMar>
            <w:vAlign w:val="bottom"/>
          </w:tcPr>
          <w:p>
            <w:pPr>
              <w:pStyle w:val="TableContents"/>
              <w:bidi w:val="0"/>
              <w:spacing w:before="0" w:after="283"/>
              <w:jc w:val="left"/>
              <w:rPr/>
            </w:pPr>
            <w:r>
              <w:rPr/>
              <w:t> </w:t>
            </w:r>
          </w:p>
        </w:tc>
      </w:tr>
      <w:tr>
        <w:trPr/>
        <w:tc>
          <w:tcPr>
            <w:tcW w:w="2930" w:type="dxa"/>
            <w:tcBorders>
              <w:top w:val="dotted" w:sz="2" w:space="0" w:color="000000"/>
              <w:left w:val="dotted" w:sz="2" w:space="0" w:color="000000"/>
              <w:bottom w:val="dotted" w:sz="2" w:space="0" w:color="000000"/>
              <w:right w:val="dotted" w:sz="2" w:space="0" w:color="000000"/>
            </w:tcBorders>
            <w:tcMar>
              <w:top w:w="28" w:type="dxa"/>
              <w:left w:w="160" w:type="dxa"/>
              <w:bottom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4"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541"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2022</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80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515,000</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98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1,441,997</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80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680,532</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88"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1402"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114,869(7)</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144"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1346"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2,134</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98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2,754,532</w:t>
            </w:r>
          </w:p>
        </w:tc>
        <w:tc>
          <w:tcPr>
            <w:tcW w:w="60" w:type="dxa"/>
            <w:tcBorders>
              <w:top w:val="dotted" w:sz="2" w:space="0" w:color="000000"/>
              <w:bottom w:val="dotted" w:sz="2" w:space="0" w:color="000000"/>
              <w:right w:val="dotted" w:sz="2" w:space="0" w:color="000000"/>
            </w:tcBorders>
            <w:tcMar>
              <w:top w:w="28" w:type="dxa"/>
              <w:bottom w:w="60" w:type="dxa"/>
              <w:right w:w="40" w:type="dxa"/>
            </w:tcMar>
            <w:vAlign w:val="bottom"/>
          </w:tcPr>
          <w:p>
            <w:pPr>
              <w:pStyle w:val="TableContents"/>
              <w:bidi w:val="0"/>
              <w:spacing w:before="0" w:after="283"/>
              <w:jc w:val="left"/>
              <w:rPr/>
            </w:pPr>
            <w:r>
              <w:rPr/>
              <w:t> </w:t>
            </w:r>
          </w:p>
        </w:tc>
      </w:tr>
      <w:tr>
        <w:trPr/>
        <w:tc>
          <w:tcPr>
            <w:tcW w:w="2930" w:type="dxa"/>
            <w:tcBorders>
              <w:top w:val="dotted" w:sz="2" w:space="0" w:color="000000"/>
              <w:left w:val="dotted" w:sz="2" w:space="0" w:color="000000"/>
              <w:bottom w:val="dotted" w:sz="2" w:space="0" w:color="000000"/>
              <w:right w:val="dotted" w:sz="2" w:space="0" w:color="000000"/>
            </w:tcBorders>
            <w:tcMar>
              <w:top w:w="28" w:type="dxa"/>
              <w:left w:w="160" w:type="dxa"/>
              <w:bottom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4"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541"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right w:val="dotted"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800"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right w:val="dotted"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980"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right w:val="dotted"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800"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right w:val="dotted"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88"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1402"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right w:val="dotted"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144"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1346"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right w:val="dotted"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980"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right w:val="dotted"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2930" w:type="dxa"/>
            <w:tcBorders>
              <w:top w:val="dotted" w:sz="2" w:space="0" w:color="000000"/>
              <w:left w:val="dotted" w:sz="2" w:space="0" w:color="000000"/>
              <w:bottom w:val="dotted" w:sz="2" w:space="0" w:color="000000"/>
              <w:right w:val="dotted" w:sz="2" w:space="0" w:color="000000"/>
            </w:tcBorders>
            <w:tcMar>
              <w:top w:w="28" w:type="dxa"/>
              <w:left w:w="160" w:type="dxa"/>
              <w:bottom w:w="6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Robin Harper Cowie</w:t>
            </w:r>
          </w:p>
          <w:p>
            <w:pPr>
              <w:pStyle w:val="TableContents"/>
              <w:bidi w:val="0"/>
              <w:spacing w:before="0" w:after="20"/>
              <w:jc w:val="left"/>
              <w:rPr>
                <w:rFonts w:ascii="Times New Roman" w:hAnsi="Times New Roman"/>
                <w:sz w:val="20"/>
              </w:rPr>
            </w:pPr>
            <w:r>
              <w:rPr>
                <w:rFonts w:ascii="Times New Roman" w:hAnsi="Times New Roman"/>
                <w:sz w:val="20"/>
              </w:rPr>
              <w:t>Chief Financial Officer, Secretary and Treasurer</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4"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541"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2023</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80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355,000</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98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372,751</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80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81,319</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88"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1402"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33,797(8)</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144"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1346"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1,500</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98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844,367</w:t>
            </w:r>
          </w:p>
        </w:tc>
        <w:tc>
          <w:tcPr>
            <w:tcW w:w="60" w:type="dxa"/>
            <w:tcBorders>
              <w:top w:val="dotted" w:sz="2" w:space="0" w:color="000000"/>
              <w:bottom w:val="dotted" w:sz="2" w:space="0" w:color="000000"/>
              <w:right w:val="dotted" w:sz="2" w:space="0" w:color="000000"/>
            </w:tcBorders>
            <w:tcMar>
              <w:top w:w="28" w:type="dxa"/>
              <w:bottom w:w="60" w:type="dxa"/>
              <w:right w:w="40" w:type="dxa"/>
            </w:tcMar>
            <w:vAlign w:val="bottom"/>
          </w:tcPr>
          <w:p>
            <w:pPr>
              <w:pStyle w:val="TableContents"/>
              <w:bidi w:val="0"/>
              <w:spacing w:before="0" w:after="283"/>
              <w:jc w:val="left"/>
              <w:rPr/>
            </w:pPr>
            <w:r>
              <w:rPr/>
              <w:t> </w:t>
            </w:r>
          </w:p>
        </w:tc>
      </w:tr>
      <w:tr>
        <w:trPr/>
        <w:tc>
          <w:tcPr>
            <w:tcW w:w="2930" w:type="dxa"/>
            <w:tcBorders>
              <w:top w:val="dotted" w:sz="2" w:space="0" w:color="000000"/>
              <w:left w:val="dotted" w:sz="2" w:space="0" w:color="000000"/>
              <w:bottom w:val="dotted" w:sz="2" w:space="0" w:color="000000"/>
              <w:right w:val="dotted" w:sz="2" w:space="0" w:color="000000"/>
            </w:tcBorders>
            <w:tcMar>
              <w:top w:w="28" w:type="dxa"/>
              <w:left w:w="160" w:type="dxa"/>
              <w:bottom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4"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541"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2022</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80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350,096</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98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372,749</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80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231,882</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88"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1402"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39,140(9)</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144"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1346"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1,633</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98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995,500</w:t>
            </w:r>
          </w:p>
        </w:tc>
        <w:tc>
          <w:tcPr>
            <w:tcW w:w="60" w:type="dxa"/>
            <w:tcBorders>
              <w:top w:val="dotted" w:sz="2" w:space="0" w:color="000000"/>
              <w:bottom w:val="dotted" w:sz="2" w:space="0" w:color="000000"/>
              <w:right w:val="dotted" w:sz="2" w:space="0" w:color="000000"/>
            </w:tcBorders>
            <w:tcMar>
              <w:top w:w="28" w:type="dxa"/>
              <w:bottom w:w="60" w:type="dxa"/>
              <w:right w:w="40" w:type="dxa"/>
            </w:tcMar>
            <w:vAlign w:val="bottom"/>
          </w:tcPr>
          <w:p>
            <w:pPr>
              <w:pStyle w:val="TableContents"/>
              <w:bidi w:val="0"/>
              <w:spacing w:before="0" w:after="283"/>
              <w:jc w:val="left"/>
              <w:rPr/>
            </w:pPr>
            <w:r>
              <w:rPr/>
              <w:t> </w:t>
            </w:r>
          </w:p>
        </w:tc>
      </w:tr>
      <w:tr>
        <w:trPr/>
        <w:tc>
          <w:tcPr>
            <w:tcW w:w="2930" w:type="dxa"/>
            <w:tcBorders>
              <w:top w:val="dotted" w:sz="2" w:space="0" w:color="000000"/>
              <w:left w:val="dotted" w:sz="2" w:space="0" w:color="000000"/>
              <w:bottom w:val="dotted" w:sz="2" w:space="0" w:color="000000"/>
              <w:right w:val="dotted" w:sz="2" w:space="0" w:color="000000"/>
            </w:tcBorders>
            <w:tcMar>
              <w:top w:w="28" w:type="dxa"/>
              <w:left w:w="160" w:type="dxa"/>
              <w:bottom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4"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541"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right w:val="dotted"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800"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right w:val="dotted"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980"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right w:val="dotted"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800"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right w:val="dotted"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88"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1402"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right w:val="dotted"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144"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1346"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right w:val="dotted"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980" w:type="dxa"/>
            <w:tcBorders>
              <w:top w:val="dotted" w:sz="2" w:space="0" w:color="000000"/>
              <w:bottom w:val="dotted"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right w:val="dotted"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2930" w:type="dxa"/>
            <w:tcBorders>
              <w:top w:val="dotted" w:sz="2" w:space="0" w:color="000000"/>
              <w:left w:val="dotted" w:sz="2" w:space="0" w:color="000000"/>
              <w:bottom w:val="dotted" w:sz="2" w:space="0" w:color="000000"/>
              <w:right w:val="dotted" w:sz="2" w:space="0" w:color="000000"/>
            </w:tcBorders>
            <w:tcMar>
              <w:top w:w="28" w:type="dxa"/>
              <w:left w:w="160" w:type="dxa"/>
              <w:bottom w:w="60" w:type="dxa"/>
              <w:right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Kieran OKane</w:t>
            </w:r>
          </w:p>
          <w:p>
            <w:pPr>
              <w:pStyle w:val="TableContents"/>
              <w:bidi w:val="0"/>
              <w:spacing w:before="0" w:after="20"/>
              <w:jc w:val="left"/>
              <w:rPr>
                <w:rFonts w:ascii="Times New Roman" w:hAnsi="Times New Roman"/>
                <w:sz w:val="20"/>
              </w:rPr>
            </w:pPr>
            <w:r>
              <w:rPr>
                <w:rFonts w:ascii="Times New Roman" w:hAnsi="Times New Roman"/>
                <w:sz w:val="20"/>
              </w:rPr>
              <w:t>Chief Commercial Officer(10)</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4"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541"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2023</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80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335,000</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98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234,449</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80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45,555</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88"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1402"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57,407(11)</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144"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1346"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205</w:t>
            </w:r>
          </w:p>
        </w:tc>
        <w:tc>
          <w:tcPr>
            <w:tcW w:w="60" w:type="dxa"/>
            <w:tcBorders>
              <w:top w:val="dotted" w:sz="2" w:space="0" w:color="000000"/>
              <w:bottom w:val="dotted" w:sz="2" w:space="0" w:color="000000"/>
              <w:right w:val="dotted" w:sz="2" w:space="0" w:color="000000"/>
            </w:tcBorders>
            <w:tcMar>
              <w:top w:w="28" w:type="dxa"/>
              <w:bottom w:w="60" w:type="dxa"/>
              <w:right w:w="28" w:type="dxa"/>
            </w:tcMar>
            <w:vAlign w:val="bottom"/>
          </w:tcPr>
          <w:p>
            <w:pPr>
              <w:pStyle w:val="TableContents"/>
              <w:bidi w:val="0"/>
              <w:spacing w:before="0" w:after="283"/>
              <w:jc w:val="left"/>
              <w:rPr/>
            </w:pPr>
            <w:r>
              <w:rPr/>
              <w:t> </w:t>
            </w:r>
          </w:p>
        </w:tc>
        <w:tc>
          <w:tcPr>
            <w:tcW w:w="60" w:type="dxa"/>
            <w:tcBorders>
              <w:top w:val="dotted" w:sz="2" w:space="0" w:color="000000"/>
              <w:left w:val="dotted" w:sz="2" w:space="0" w:color="000000"/>
              <w:bottom w:val="dotted"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left"/>
              <w:rPr/>
            </w:pPr>
            <w:r>
              <w:rPr/>
              <w:t> </w:t>
            </w:r>
          </w:p>
        </w:tc>
        <w:tc>
          <w:tcPr>
            <w:tcW w:w="980" w:type="dxa"/>
            <w:tcBorders>
              <w:top w:val="dotted" w:sz="2" w:space="0" w:color="000000"/>
              <w:bottom w:val="dotted" w:sz="2" w:space="0" w:color="000000"/>
            </w:tcBorders>
            <w:tcMar>
              <w:top w:w="28" w:type="dxa"/>
              <w:bottom w:w="60" w:type="dxa"/>
            </w:tcMar>
            <w:vAlign w:val="bottom"/>
          </w:tcPr>
          <w:p>
            <w:pPr>
              <w:pStyle w:val="TableContents"/>
              <w:bidi w:val="0"/>
              <w:spacing w:before="0" w:after="283"/>
              <w:jc w:val="center"/>
              <w:rPr/>
            </w:pPr>
            <w:r>
              <w:rPr/>
              <w:t>672,666</w:t>
            </w:r>
          </w:p>
        </w:tc>
        <w:tc>
          <w:tcPr>
            <w:tcW w:w="60" w:type="dxa"/>
            <w:tcBorders>
              <w:top w:val="dotted" w:sz="2" w:space="0" w:color="000000"/>
              <w:bottom w:val="dotted" w:sz="2" w:space="0" w:color="000000"/>
              <w:right w:val="dotted" w:sz="2" w:space="0" w:color="000000"/>
            </w:tcBorders>
            <w:tcMar>
              <w:top w:w="28" w:type="dxa"/>
              <w:bottom w:w="60" w:type="dxa"/>
              <w:right w:w="4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r>
        <w:rPr>
          <w:u w:val="single"/>
        </w:rPr>
        <w:t>     </w:t>
      </w:r>
      <w:r>
        <w:rPr/>
        <w:t xml:space="preserve"> </w:t>
      </w:r>
    </w:p>
    <w:tbl>
      <w:tblPr>
        <w:tblW w:w="5000" w:type="pct"/>
        <w:jc w:val="left"/>
        <w:tblInd w:w="0" w:type="dxa"/>
        <w:tblLayout w:type="fixed"/>
        <w:tblCellMar>
          <w:top w:w="0" w:type="dxa"/>
          <w:left w:w="0" w:type="dxa"/>
          <w:bottom w:w="0" w:type="dxa"/>
          <w:right w:w="0" w:type="dxa"/>
        </w:tblCellMar>
      </w:tblPr>
      <w:tblGrid>
        <w:gridCol w:w="202"/>
        <w:gridCol w:w="509"/>
        <w:gridCol w:w="9494"/>
      </w:tblGrid>
      <w:tr>
        <w:trPr/>
        <w:tc>
          <w:tcPr>
            <w:tcW w:w="20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disclosed represent the dollar value of base salary earned by the named executive officer as of December 31 of each applicable fiscal year. </w:t>
            </w:r>
          </w:p>
        </w:tc>
      </w:tr>
    </w:tbl>
    <w:tbl>
      <w:tblPr>
        <w:tblW w:w="5000" w:type="pct"/>
        <w:jc w:val="left"/>
        <w:tblInd w:w="0" w:type="dxa"/>
        <w:tblLayout w:type="fixed"/>
        <w:tblCellMar>
          <w:top w:w="0" w:type="dxa"/>
          <w:left w:w="0" w:type="dxa"/>
          <w:bottom w:w="0" w:type="dxa"/>
          <w:right w:w="0" w:type="dxa"/>
        </w:tblCellMar>
      </w:tblPr>
      <w:tblGrid>
        <w:gridCol w:w="203"/>
        <w:gridCol w:w="508"/>
        <w:gridCol w:w="9494"/>
      </w:tblGrid>
      <w:tr>
        <w:trPr/>
        <w:tc>
          <w:tcPr>
            <w:tcW w:w="203"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disclosed represent the aggregate grant date fair value of RSU awards as calculated in accordance with FASB ASC Topic 718. The assumptions used in calculating the grant date fair value of the award disclosed in this column are set forth in Note 12 of our audited financial statements included in the 2023 Annual Report on Form 10-K Item 8. Financial Statements and Supplementary Data for the year ended December 31, 2023. These amounts do not correspond to the actual value that may be realized by the named executive officers upon vesting or exercise of the applicable awards. </w:t>
            </w:r>
          </w:p>
        </w:tc>
      </w:tr>
    </w:tbl>
    <w:tbl>
      <w:tblPr>
        <w:tblW w:w="5000" w:type="pct"/>
        <w:jc w:val="left"/>
        <w:tblInd w:w="0" w:type="dxa"/>
        <w:tblLayout w:type="fixed"/>
        <w:tblCellMar>
          <w:top w:w="0" w:type="dxa"/>
          <w:left w:w="0" w:type="dxa"/>
          <w:bottom w:w="0" w:type="dxa"/>
          <w:right w:w="0" w:type="dxa"/>
        </w:tblCellMar>
      </w:tblPr>
      <w:tblGrid>
        <w:gridCol w:w="202"/>
        <w:gridCol w:w="509"/>
        <w:gridCol w:w="9494"/>
      </w:tblGrid>
      <w:tr>
        <w:trPr/>
        <w:tc>
          <w:tcPr>
            <w:tcW w:w="20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disclosed represent the aggregate grant date fair value of awards, including an estimate of the grant date fair value of bonus-to-options awards, as calculated in accordance with FASB ASC Topic 718 as well as the incremental fair value of the new stock options granted to each of the named executive officers on July 24, 2023 as a result of the stock option exchange program described under Compensation of Named Executive Officers  Equity Awards  Stock Option Exchange Program. The assumptions used in calculating the grant date fair value of the award disclosed in this column are set forth in Note 12 of our audited financial statements included in the 2023 Annual Report on Form 10-K Item 8. Financial Statements and Supplementary Data for the year ended December 31, 2023. For the bonus-to-options awards, the estimated grant date fair value was used to correspond to the treatment of such expense under U.S. GAAP in the 2023 Annual Report on Form 10-K, as the service inception period precedes the grant date. These amounts do not correspond to the actual value that may be realized by the named executive officers upon vesting or exercise of the applicable awards. </w:t>
            </w:r>
          </w:p>
        </w:tc>
      </w:tr>
    </w:tbl>
    <w:tbl>
      <w:tblPr>
        <w:tblW w:w="5000" w:type="pct"/>
        <w:jc w:val="left"/>
        <w:tblInd w:w="0" w:type="dxa"/>
        <w:tblLayout w:type="fixed"/>
        <w:tblCellMar>
          <w:top w:w="0" w:type="dxa"/>
          <w:left w:w="0" w:type="dxa"/>
          <w:bottom w:w="0" w:type="dxa"/>
          <w:right w:w="0" w:type="dxa"/>
        </w:tblCellMar>
      </w:tblPr>
      <w:tblGrid>
        <w:gridCol w:w="203"/>
        <w:gridCol w:w="509"/>
        <w:gridCol w:w="9493"/>
      </w:tblGrid>
      <w:tr>
        <w:trPr/>
        <w:tc>
          <w:tcPr>
            <w:tcW w:w="20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our 2022 and 2023 performance measured against the Companys achievement of three financial objectives, (i) total revenue determined in accordance with U.S. GAAP, (ii) gross margin percentage, and (iii) total operating expense (excluding certain non-cash expenses), and for 2022 only, one commercial catalyst objective intended to incentivize the advancement of certain major projects and commercial objectives of the Company, our compensation committee determined, and our board of directors approved, payouts under the 2022 and 2023 annual cash bonus program at a 65.5% and 38.1% achievement level, respectively. The Non-Equity Incentive Plan Compensation listed for each named </w:t>
            </w:r>
          </w:p>
        </w:tc>
      </w:tr>
    </w:tbl>
    <w:tbl>
      <w:tblPr>
        <w:tblW w:w="5000" w:type="pct"/>
        <w:jc w:val="left"/>
        <w:tblInd w:w="0" w:type="dxa"/>
        <w:tblLayout w:type="fixed"/>
        <w:tblCellMar>
          <w:top w:w="0" w:type="dxa"/>
          <w:left w:w="0" w:type="dxa"/>
          <w:bottom w:w="0" w:type="dxa"/>
          <w:right w:w="0" w:type="dxa"/>
        </w:tblCellMar>
      </w:tblPr>
      <w:tblGrid>
        <w:gridCol w:w="710"/>
        <w:gridCol w:w="9495"/>
      </w:tblGrid>
      <w:tr>
        <w:trPr/>
        <w:tc>
          <w:tcPr>
            <w:tcW w:w="710" w:type="dxa"/>
            <w:tcBorders/>
            <w:vAlign w:val="center"/>
          </w:tcPr>
          <w:p>
            <w:pPr>
              <w:pStyle w:val="TableContents"/>
              <w:bidi w:val="0"/>
              <w:spacing w:before="0" w:after="283"/>
              <w:jc w:val="left"/>
              <w:rPr/>
            </w:pPr>
            <w:r>
              <w:rPr/>
              <w:t> </w:t>
            </w:r>
          </w:p>
        </w:tc>
        <w:tc>
          <w:tcPr>
            <w:tcW w:w="9495" w:type="dxa"/>
            <w:tcBorders/>
          </w:tcPr>
          <w:p>
            <w:pPr>
              <w:pStyle w:val="TableContents"/>
              <w:bidi w:val="0"/>
              <w:spacing w:before="0" w:after="283"/>
              <w:jc w:val="left"/>
              <w:rPr/>
            </w:pPr>
            <w:r>
              <w:rPr/>
              <w:t xml:space="preserve">executive officer represents the annual cash bonus award for the 2022 and 2023 fiscal years after taking into consideration the election of each individual to participate in the bonus-to-options program.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30</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203"/>
        <w:gridCol w:w="509"/>
        <w:gridCol w:w="9493"/>
      </w:tblGrid>
      <w:tr>
        <w:trPr/>
        <w:tc>
          <w:tcPr>
            <w:tcW w:w="20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disclosed primarily represent an electronics allowance stipend and the tax gross-up on awards through the Companys Wishlist Rewards Program, a peer-to-peer recognition program, received by each named executive officer as of December 31 of each applicable fiscal year for specific contributions and demonstrating the Companys core values. </w:t>
            </w:r>
          </w:p>
        </w:tc>
      </w:tr>
    </w:tbl>
    <w:tbl>
      <w:tblPr>
        <w:tblW w:w="5000" w:type="pct"/>
        <w:jc w:val="left"/>
        <w:tblInd w:w="0" w:type="dxa"/>
        <w:tblLayout w:type="fixed"/>
        <w:tblCellMar>
          <w:top w:w="0" w:type="dxa"/>
          <w:left w:w="0" w:type="dxa"/>
          <w:bottom w:w="0" w:type="dxa"/>
          <w:right w:w="0" w:type="dxa"/>
        </w:tblCellMar>
      </w:tblPr>
      <w:tblGrid>
        <w:gridCol w:w="202"/>
        <w:gridCol w:w="509"/>
        <w:gridCol w:w="9494"/>
      </w:tblGrid>
      <w:tr>
        <w:trPr/>
        <w:tc>
          <w:tcPr>
            <w:tcW w:w="20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38.1% achievement level, Mr. Hutton was entitled to a payout under the 2023 annual cash bonus program of $196,116. However, Mr. Hutton elected to receive a portion of his 2023 annual cash bonus in the form of an option award under the bonus-to-options program. In accordance with Mr. Huttons election and the terms of the bonus-to-options program, Mr. Hutton received a cash payment of $98,058 in respect of his 2023 annual cash bonus, as reflected in this column, and in place of the remaining amount, received an option award representing the right to purchase 180,926 shares of our common stock, the value of which is reflected in the Option Awards column. </w:t>
            </w:r>
          </w:p>
        </w:tc>
      </w:tr>
    </w:tbl>
    <w:tbl>
      <w:tblPr>
        <w:tblW w:w="5000" w:type="pct"/>
        <w:jc w:val="left"/>
        <w:tblInd w:w="0" w:type="dxa"/>
        <w:tblLayout w:type="fixed"/>
        <w:tblCellMar>
          <w:top w:w="0" w:type="dxa"/>
          <w:left w:w="0" w:type="dxa"/>
          <w:bottom w:w="0" w:type="dxa"/>
          <w:right w:w="0" w:type="dxa"/>
        </w:tblCellMar>
      </w:tblPr>
      <w:tblGrid>
        <w:gridCol w:w="202"/>
        <w:gridCol w:w="509"/>
        <w:gridCol w:w="9494"/>
      </w:tblGrid>
      <w:tr>
        <w:trPr/>
        <w:tc>
          <w:tcPr>
            <w:tcW w:w="20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65.5% achievement level, Mr. Hutton was entitled to a payout under the 2022 annual cash bonus program of $337,202. However, Mr. Hutton elected to receive a portion of his 2022 annual cash bonus in the form of an option award under the bonus-to-options program. Because the 2021 Senior Management Bonus to Equity Plan is a sub-plan of the 2020 Incentive Plan, any grants under the plan are subject to the overall availability of shares for grant under the 2020 Incentive Plan. As a result, the number of shares of the Companys common stock subject to each bonus-to-options award granted in 2023 was reduced by 12.1% with such portion paid in cash. In accordance with Mr. Huttons election and the terms of the bonus-to-options program, Mr. Hutton received a cash payment of $114,869 in respect of his 2022 annual cash bonus, as reflected in this column, and in place of the remaining amount, received an option award representing the right to purchase 435,668 shares of our common stock, the value of which is reflected in the Option Awards column. </w:t>
            </w:r>
          </w:p>
        </w:tc>
      </w:tr>
    </w:tbl>
    <w:tbl>
      <w:tblPr>
        <w:tblW w:w="5000" w:type="pct"/>
        <w:jc w:val="left"/>
        <w:tblInd w:w="0" w:type="dxa"/>
        <w:tblLayout w:type="fixed"/>
        <w:tblCellMar>
          <w:top w:w="0" w:type="dxa"/>
          <w:left w:w="0" w:type="dxa"/>
          <w:bottom w:w="0" w:type="dxa"/>
          <w:right w:w="0" w:type="dxa"/>
        </w:tblCellMar>
      </w:tblPr>
      <w:tblGrid>
        <w:gridCol w:w="202"/>
        <w:gridCol w:w="509"/>
        <w:gridCol w:w="9494"/>
      </w:tblGrid>
      <w:tr>
        <w:trPr/>
        <w:tc>
          <w:tcPr>
            <w:tcW w:w="20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38.1% achievement level, Ms. Harper Cowie was entitled to a payout under the 2023 annual cash bonus program of $67,593. However, Ms. Harper Cowie elected to receive a portion of her 2023 annual cash bonus in the form of an option award under the bonus-to-options program. In accordance with Ms. Harper Cowies election and the terms of the bonus-to-options program, Ms. Harper Cowie received a cash payment of $33,797 in respect of her 2023 annual cash bonus, as reflected in this column, and in place of the remaining amount, received an option award representing the right to purchase 62,358 shares of our common stock, the value of which is reflected in the Option Awards column. </w:t>
            </w:r>
          </w:p>
        </w:tc>
      </w:tr>
    </w:tbl>
    <w:tbl>
      <w:tblPr>
        <w:tblW w:w="5000" w:type="pct"/>
        <w:jc w:val="left"/>
        <w:tblInd w:w="0" w:type="dxa"/>
        <w:tblLayout w:type="fixed"/>
        <w:tblCellMar>
          <w:top w:w="0" w:type="dxa"/>
          <w:left w:w="0" w:type="dxa"/>
          <w:bottom w:w="0" w:type="dxa"/>
          <w:right w:w="0" w:type="dxa"/>
        </w:tblCellMar>
      </w:tblPr>
      <w:tblGrid>
        <w:gridCol w:w="202"/>
        <w:gridCol w:w="509"/>
        <w:gridCol w:w="9494"/>
      </w:tblGrid>
      <w:tr>
        <w:trPr/>
        <w:tc>
          <w:tcPr>
            <w:tcW w:w="20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65.5% achievement level, Ms. Harper Cowie was entitled to a payout under the 2022 annual cash bonus program of $114,897. However, Ms. Harper Cowie elected to receive a portion of her 2022 annual cash bonus in the form of an option award under the bonus-to-options program. Because the 2021 Senior Management Bonus to Equity Plan is a sub-plan of the 2020 Incentive Plan, any grants under the plan are subject to the overall availability of shares for grant under the 2020 Incentive Plan. As a result, the number of shares of the Companys common stock subject to each bonus-to-options award granted in 2023 was reduced by 12.1% with such portion paid in cash. In accordance with Ms. Harper Cowies election and the terms of the bonus-to-options program, Ms. Harper Cowie received a cash payment of $39,140 in respect of her 2022 annual cash bonus, as reflected in this column, and in place of the remaining amount, received an option award representing the right to purchase 148,448 shares of our common stock, the value of which is reflected in the Option Awards column. </w:t>
            </w:r>
          </w:p>
        </w:tc>
      </w:tr>
    </w:tbl>
    <w:tbl>
      <w:tblPr>
        <w:tblW w:w="5000" w:type="pct"/>
        <w:jc w:val="left"/>
        <w:tblInd w:w="0" w:type="dxa"/>
        <w:tblLayout w:type="fixed"/>
        <w:tblCellMar>
          <w:top w:w="0" w:type="dxa"/>
          <w:left w:w="0" w:type="dxa"/>
          <w:bottom w:w="0" w:type="dxa"/>
          <w:right w:w="0" w:type="dxa"/>
        </w:tblCellMar>
      </w:tblPr>
      <w:tblGrid>
        <w:gridCol w:w="203"/>
        <w:gridCol w:w="510"/>
        <w:gridCol w:w="9492"/>
      </w:tblGrid>
      <w:tr>
        <w:trPr/>
        <w:tc>
          <w:tcPr>
            <w:tcW w:w="20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OKane was not a named executive officer for the 2022 fiscal year. </w:t>
            </w:r>
          </w:p>
        </w:tc>
      </w:tr>
    </w:tbl>
    <w:tbl>
      <w:tblPr>
        <w:tblW w:w="5000" w:type="pct"/>
        <w:jc w:val="left"/>
        <w:tblInd w:w="0" w:type="dxa"/>
        <w:tblLayout w:type="fixed"/>
        <w:tblCellMar>
          <w:top w:w="0" w:type="dxa"/>
          <w:left w:w="0" w:type="dxa"/>
          <w:bottom w:w="0" w:type="dxa"/>
          <w:right w:w="0" w:type="dxa"/>
        </w:tblCellMar>
      </w:tblPr>
      <w:tblGrid>
        <w:gridCol w:w="203"/>
        <w:gridCol w:w="510"/>
        <w:gridCol w:w="9492"/>
      </w:tblGrid>
      <w:tr>
        <w:trPr/>
        <w:tc>
          <w:tcPr>
            <w:tcW w:w="20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38.1% achievement level, Mr. OKane was entitled to a payout under the 2023 annual cash bonus program of $76,542. However, Mr. OKane elected to receive a portion of his 2023 annual cash bonus in the form of an option award under the bonus-to-options program. In accordance with Mr. OKanes election and the terms of the bonus-to-options program, Mr. OKane received a cash payment of $57,407 in respect of his 2023 annual cash bonus, as reflected in this column, and in place of the remaining amount, received an option award representing the right to purchase 35,307 shares of our common stock, the value of which is reflected in the Option Awards column.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31</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color w:val="305494"/>
          <w:sz w:val="28"/>
        </w:rPr>
      </w:pPr>
      <w:bookmarkStart w:id="35" w:name="toc674951_33"/>
      <w:bookmarkEnd w:id="35"/>
      <w:r>
        <w:rPr>
          <w:rFonts w:ascii="Times New Roman" w:hAnsi="Times New Roman"/>
          <w:color w:val="305494"/>
          <w:sz w:val="28"/>
        </w:rPr>
        <w:t xml:space="preserve">Outstanding Equity Awards at Fiscal 2023 Year-End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information regarding the outstanding equity awards held by each of the named executive officers as of December 31, 2023. As of the year ended December 31, 2023, none of the named executive officers held any outstanding stock awards other than options and RSUs. </w:t>
      </w:r>
    </w:p>
    <w:p>
      <w:pPr>
        <w:pStyle w:val="TextBody"/>
        <w:bidi w:val="0"/>
        <w:spacing w:before="0" w:after="0"/>
        <w:jc w:val="left"/>
        <w:rPr/>
      </w:pPr>
      <w:r>
        <w:rPr/>
        <w:t> </w:t>
      </w:r>
    </w:p>
    <w:tbl>
      <w:tblPr>
        <w:tblW w:w="12960" w:type="dxa"/>
        <w:jc w:val="center"/>
        <w:tblInd w:w="0" w:type="dxa"/>
        <w:tblLayout w:type="fixed"/>
        <w:tblCellMar>
          <w:top w:w="0" w:type="dxa"/>
          <w:left w:w="0" w:type="dxa"/>
          <w:bottom w:w="0" w:type="dxa"/>
          <w:right w:w="0" w:type="dxa"/>
        </w:tblCellMar>
      </w:tblPr>
      <w:tblGrid>
        <w:gridCol w:w="1445"/>
        <w:gridCol w:w="60"/>
        <w:gridCol w:w="980"/>
        <w:gridCol w:w="60"/>
        <w:gridCol w:w="1520"/>
        <w:gridCol w:w="60"/>
        <w:gridCol w:w="1775"/>
        <w:gridCol w:w="60"/>
        <w:gridCol w:w="1595"/>
        <w:gridCol w:w="60"/>
        <w:gridCol w:w="875"/>
        <w:gridCol w:w="60"/>
        <w:gridCol w:w="1115"/>
        <w:gridCol w:w="60"/>
        <w:gridCol w:w="1730"/>
        <w:gridCol w:w="60"/>
        <w:gridCol w:w="1445"/>
      </w:tblGrid>
      <w:tr>
        <w:trPr/>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center"/>
              <w:rPr>
                <w:b/>
              </w:rPr>
            </w:pPr>
            <w:r>
              <w:rPr>
                <w:b/>
              </w:rPr>
              <w:t>Option Awards</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center"/>
              <w:rPr>
                <w:b/>
              </w:rPr>
            </w:pPr>
            <w:r>
              <w:rPr>
                <w:b/>
              </w:rPr>
              <w:t>Stock Awards</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left"/>
              <w:rPr/>
            </w:pPr>
            <w:r>
              <w:rPr/>
              <w:t> </w:t>
            </w:r>
          </w:p>
        </w:tc>
      </w:tr>
      <w:tr>
        <w:trPr/>
        <w:tc>
          <w:tcPr>
            <w:tcW w:w="1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pBdr>
                <w:top w:val="single" w:sz="2" w:space="1" w:color="000000"/>
              </w:pBdr>
              <w:bidi w:val="0"/>
              <w:spacing w:before="0" w:after="0"/>
              <w:jc w:val="left"/>
              <w:rPr/>
            </w:pPr>
            <w:r>
              <w:rPr/>
              <w:t> </w:t>
            </w:r>
          </w:p>
        </w:tc>
      </w:tr>
      <w:tr>
        <w:trPr/>
        <w:tc>
          <w:tcPr>
            <w:tcW w:w="1445" w:type="dxa"/>
            <w:tcBorders/>
            <w:vAlign w:val="bottom"/>
          </w:tcPr>
          <w:p>
            <w:pPr>
              <w:pStyle w:val="TableContents"/>
              <w:bidi w:val="0"/>
              <w:spacing w:before="0" w:after="283"/>
              <w:jc w:val="left"/>
              <w:rPr>
                <w:b/>
              </w:rPr>
            </w:pPr>
            <w:r>
              <w:rPr>
                <w:b/>
              </w:rPr>
              <w:t>Name</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b/>
              </w:rPr>
            </w:pPr>
            <w:r>
              <w:rPr>
                <w:b/>
              </w:rPr>
              <w:t>Grant</w:t>
              <w:br/>
              <w:t>Date</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b/>
              </w:rPr>
            </w:pPr>
            <w:r>
              <w:rPr>
                <w:b/>
              </w:rPr>
              <w:t>Number of</w:t>
              <w:br/>
              <w:t>Securities</w:t>
              <w:br/>
              <w:t>Underlying</w:t>
              <w:br/>
              <w:t>Unexercised</w:t>
              <w:br/>
              <w:t>Options</w:t>
              <w:br/>
              <w:t>(#) Exercisable</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b/>
              </w:rPr>
            </w:pPr>
            <w:r>
              <w:rPr>
                <w:b/>
              </w:rPr>
              <w:t>Number of</w:t>
              <w:br/>
              <w:t>Securities</w:t>
              <w:br/>
              <w:t>Underlying</w:t>
              <w:br/>
              <w:t>Unexercised</w:t>
              <w:br/>
              <w:t>Options</w:t>
              <w:br/>
              <w:t>(#) Unexercisable</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jc w:val="center"/>
              <w:rPr>
                <w:b/>
              </w:rPr>
            </w:pPr>
            <w:r>
              <w:rPr>
                <w:b/>
              </w:rPr>
              <w:t>Equity</w:t>
              <w:br/>
              <w:t>Incentive</w:t>
            </w:r>
          </w:p>
          <w:p>
            <w:pPr>
              <w:pStyle w:val="TableContents"/>
              <w:bidi w:val="0"/>
              <w:spacing w:before="0" w:after="0"/>
              <w:jc w:val="center"/>
              <w:rPr>
                <w:rFonts w:ascii="Times New Roman" w:hAnsi="Times New Roman"/>
                <w:b/>
                <w:sz w:val="15"/>
              </w:rPr>
            </w:pPr>
            <w:r>
              <w:rPr>
                <w:rFonts w:ascii="Times New Roman" w:hAnsi="Times New Roman"/>
                <w:b/>
                <w:sz w:val="15"/>
              </w:rPr>
              <w:t>Plan</w:t>
              <w:br/>
              <w:t>Awards:</w:t>
              <w:br/>
              <w:t>Number of</w:t>
              <w:br/>
              <w:t>Securities</w:t>
              <w:br/>
              <w:t>Underlying</w:t>
            </w:r>
          </w:p>
          <w:p>
            <w:pPr>
              <w:pStyle w:val="TableContents"/>
              <w:bidi w:val="0"/>
              <w:spacing w:before="0" w:after="0"/>
              <w:jc w:val="center"/>
              <w:rPr>
                <w:rFonts w:ascii="Times New Roman" w:hAnsi="Times New Roman"/>
                <w:b/>
                <w:sz w:val="15"/>
              </w:rPr>
            </w:pPr>
            <w:r>
              <w:rPr>
                <w:rFonts w:ascii="Times New Roman" w:hAnsi="Times New Roman"/>
                <w:b/>
                <w:sz w:val="15"/>
              </w:rPr>
              <w:t>Unexercised</w:t>
            </w:r>
          </w:p>
          <w:p>
            <w:pPr>
              <w:pStyle w:val="TableContents"/>
              <w:bidi w:val="0"/>
              <w:spacing w:before="0" w:after="20"/>
              <w:jc w:val="center"/>
              <w:rPr>
                <w:rFonts w:ascii="Times New Roman" w:hAnsi="Times New Roman"/>
                <w:b/>
                <w:sz w:val="15"/>
              </w:rPr>
            </w:pPr>
            <w:r>
              <w:rPr>
                <w:rFonts w:ascii="Times New Roman" w:hAnsi="Times New Roman"/>
                <w:b/>
                <w:sz w:val="15"/>
              </w:rPr>
              <w:t>Unearned</w:t>
              <w:br/>
              <w:t>Options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b/>
              </w:rPr>
            </w:pPr>
            <w:r>
              <w:rPr>
                <w:b/>
              </w:rPr>
              <w:t>Option</w:t>
              <w:br/>
              <w:t>Exercise</w:t>
              <w:br/>
              <w:t>Price</w:t>
              <w:br/>
              <w:t>($)</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jc w:val="center"/>
              <w:rPr>
                <w:b/>
              </w:rPr>
            </w:pPr>
            <w:r>
              <w:rPr>
                <w:b/>
              </w:rPr>
              <w:t>Number of</w:t>
              <w:br/>
              <w:t>Shares or Units</w:t>
              <w:br/>
              <w:t>of Stock That</w:t>
              <w:br/>
              <w:t>Have Not Vested</w:t>
            </w:r>
          </w:p>
          <w:p>
            <w:pPr>
              <w:pStyle w:val="TableContents"/>
              <w:bidi w:val="0"/>
              <w:spacing w:before="0" w:after="20"/>
              <w:jc w:val="center"/>
              <w:rPr>
                <w:rFonts w:ascii="Times New Roman" w:hAnsi="Times New Roman"/>
                <w:b/>
                <w:sz w:val="15"/>
              </w:rPr>
            </w:pPr>
            <w:r>
              <w:rPr>
                <w:rFonts w:ascii="Times New Roman" w:hAnsi="Times New Roman"/>
                <w:b/>
                <w:sz w:val="15"/>
              </w:rPr>
              <w:t>(#)</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jc w:val="center"/>
              <w:rPr>
                <w:b/>
              </w:rPr>
            </w:pPr>
            <w:r>
              <w:rPr>
                <w:b/>
              </w:rPr>
              <w:t>Market Value</w:t>
              <w:br/>
              <w:t>of Shares or</w:t>
              <w:br/>
              <w:t>Units of Stock</w:t>
              <w:br/>
              <w:t>That Have</w:t>
              <w:br/>
              <w:t>Not Vested</w:t>
            </w:r>
          </w:p>
          <w:p>
            <w:pPr>
              <w:pStyle w:val="TableContents"/>
              <w:bidi w:val="0"/>
              <w:spacing w:before="0" w:after="20"/>
              <w:jc w:val="center"/>
              <w:rPr>
                <w:rFonts w:ascii="Times New Roman" w:hAnsi="Times New Roman"/>
                <w:b/>
                <w:sz w:val="15"/>
              </w:rPr>
            </w:pPr>
            <w:r>
              <w:rPr>
                <w:rFonts w:ascii="Times New Roman" w:hAnsi="Times New Roman"/>
                <w:b/>
                <w:sz w:val="15"/>
              </w:rPr>
              <w:t>($)(7)</w:t>
            </w:r>
          </w:p>
        </w:tc>
      </w:tr>
      <w:tr>
        <w:trPr/>
        <w:tc>
          <w:tcPr>
            <w:tcW w:w="1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pBdr>
                <w:top w:val="single" w:sz="2" w:space="1" w:color="000000"/>
              </w:pBdr>
              <w:bidi w:val="0"/>
              <w:spacing w:before="0" w:after="0"/>
              <w:jc w:val="left"/>
              <w:rPr/>
            </w:pPr>
            <w:r>
              <w:rPr/>
              <w:t> </w:t>
            </w:r>
          </w:p>
        </w:tc>
      </w:tr>
      <w:tr>
        <w:trPr/>
        <w:tc>
          <w:tcPr>
            <w:tcW w:w="14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Scott Hutton</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center"/>
              <w:rPr/>
            </w:pPr>
            <w:r>
              <w:rPr/>
              <w:t>4/4/2018</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tcPr>
          <w:p>
            <w:pPr>
              <w:pStyle w:val="TableContents"/>
              <w:bidi w:val="0"/>
              <w:spacing w:before="0" w:after="283"/>
              <w:jc w:val="center"/>
              <w:rPr/>
            </w:pPr>
            <w:r>
              <w:rPr/>
              <w:t>84,231</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center"/>
              <w:rPr/>
            </w:pPr>
            <w:r>
              <w:rPr/>
              <w:t>0.42</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4/3/2028</w:t>
            </w:r>
          </w:p>
        </w:tc>
        <w:tc>
          <w:tcPr>
            <w:tcW w:w="60"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center"/>
              <w:rPr/>
            </w:pPr>
            <w:r>
              <w:rPr/>
              <w:t>3/22/2019</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tcPr>
          <w:p>
            <w:pPr>
              <w:pStyle w:val="TableContents"/>
              <w:bidi w:val="0"/>
              <w:spacing w:before="0" w:after="283"/>
              <w:jc w:val="center"/>
              <w:rPr/>
            </w:pPr>
            <w:r>
              <w:rPr/>
              <w:t>41,414</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701(2)</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center"/>
              <w:rPr/>
            </w:pPr>
            <w:r>
              <w:rPr/>
              <w:t>0.77</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12/31/2028</w:t>
            </w:r>
          </w:p>
        </w:tc>
        <w:tc>
          <w:tcPr>
            <w:tcW w:w="60"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center"/>
              <w:rPr/>
            </w:pPr>
            <w:r>
              <w:rPr/>
              <w:t>3/22/2019</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tcPr>
          <w:p>
            <w:pPr>
              <w:pStyle w:val="TableContents"/>
              <w:bidi w:val="0"/>
              <w:spacing w:before="0" w:after="283"/>
              <w:jc w:val="center"/>
              <w:rPr/>
            </w:pPr>
            <w:r>
              <w:rPr/>
              <w:t>16,846(4)</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center"/>
              <w:rPr/>
            </w:pPr>
            <w:r>
              <w:rPr/>
              <w:t>0.77</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12/31/2028</w:t>
            </w:r>
          </w:p>
        </w:tc>
        <w:tc>
          <w:tcPr>
            <w:tcW w:w="60"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center"/>
              <w:rPr/>
            </w:pPr>
            <w:r>
              <w:rPr/>
              <w:t>4/15/2020</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tcPr>
          <w:p>
            <w:pPr>
              <w:pStyle w:val="TableContents"/>
              <w:bidi w:val="0"/>
              <w:spacing w:before="0" w:after="283"/>
              <w:jc w:val="center"/>
              <w:rPr/>
            </w:pPr>
            <w:r>
              <w:rPr/>
              <w:t>118,769</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32,848(1)</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center"/>
              <w:rPr/>
            </w:pPr>
            <w:r>
              <w:rPr/>
              <w:t>0.77</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4/14/2030</w:t>
            </w:r>
          </w:p>
        </w:tc>
        <w:tc>
          <w:tcPr>
            <w:tcW w:w="60"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center"/>
              <w:rPr/>
            </w:pPr>
            <w:r>
              <w:rPr/>
              <w:t>2/8/2022</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center"/>
              <w:rPr/>
            </w:pPr>
            <w:r>
              <w:rPr/>
              <w:t>109,908(6)</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202,231</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center"/>
              <w:rPr/>
            </w:pPr>
            <w:r>
              <w:rPr/>
              <w:t>3/10/2022</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tcPr>
          <w:p>
            <w:pPr>
              <w:pStyle w:val="TableContents"/>
              <w:bidi w:val="0"/>
              <w:spacing w:before="0" w:after="283"/>
              <w:jc w:val="center"/>
              <w:rPr/>
            </w:pPr>
            <w:r>
              <w:rPr/>
              <w:t>85,875(5)</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center"/>
              <w:rPr/>
            </w:pPr>
            <w:r>
              <w:rPr/>
              <w:t>2.29</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3/9/2032</w:t>
            </w:r>
          </w:p>
        </w:tc>
        <w:tc>
          <w:tcPr>
            <w:tcW w:w="60"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center"/>
              <w:rPr/>
            </w:pPr>
            <w:r>
              <w:rPr/>
              <w:t>2/8/2023</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center"/>
              <w:rPr/>
            </w:pPr>
            <w:r>
              <w:rPr/>
              <w:t>751,042(3)</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1,381,917</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center"/>
              <w:rPr/>
            </w:pPr>
            <w:r>
              <w:rPr/>
              <w:t>3/1/2023</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tcPr>
          <w:p>
            <w:pPr>
              <w:pStyle w:val="TableContents"/>
              <w:bidi w:val="0"/>
              <w:spacing w:before="0" w:after="283"/>
              <w:jc w:val="center"/>
              <w:rPr/>
            </w:pPr>
            <w:r>
              <w:rPr/>
              <w:t>435,668(5)</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center"/>
              <w:rPr/>
            </w:pPr>
            <w:r>
              <w:rPr/>
              <w:t>2.00</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2/2/2033</w:t>
            </w:r>
          </w:p>
        </w:tc>
        <w:tc>
          <w:tcPr>
            <w:tcW w:w="60"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center"/>
              <w:rPr/>
            </w:pPr>
            <w:r>
              <w:rPr/>
              <w:t>7/24/2023</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48,733(8)</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center"/>
              <w:rPr/>
            </w:pPr>
            <w:r>
              <w:rPr/>
              <w:t>1.20</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7/23/2033</w:t>
            </w:r>
          </w:p>
        </w:tc>
        <w:tc>
          <w:tcPr>
            <w:tcW w:w="60"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center"/>
              <w:rPr/>
            </w:pPr>
            <w:r>
              <w:rPr/>
              <w:t>7/24/2023</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26,960(9)</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center"/>
              <w:rPr/>
            </w:pPr>
            <w:r>
              <w:rPr/>
              <w:t>1.20</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7/23/2033</w:t>
            </w:r>
          </w:p>
        </w:tc>
        <w:tc>
          <w:tcPr>
            <w:tcW w:w="60"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w:t>
            </w:r>
          </w:p>
        </w:tc>
      </w:tr>
      <w:tr>
        <w:trPr/>
        <w:tc>
          <w:tcPr>
            <w:tcW w:w="1445" w:type="dxa"/>
            <w:tcBorders/>
          </w:tcPr>
          <w:p>
            <w:pPr>
              <w:pStyle w:val="TableContents"/>
              <w:bidi w:val="0"/>
              <w:spacing w:before="0" w:after="0"/>
              <w:jc w:val="left"/>
              <w:rPr>
                <w:rFonts w:ascii="Times New Roman" w:hAnsi="Times New Roman"/>
                <w:sz w:val="16"/>
              </w:rPr>
            </w:pPr>
            <w:r>
              <w:rPr>
                <w:rFonts w:ascii="Times New Roman" w:hAnsi="Times New Roman"/>
                <w:sz w:val="16"/>
              </w:rPr>
              <w:t>Robin Harper Cowie</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2/4/2014</w:t>
            </w:r>
          </w:p>
        </w:tc>
        <w:tc>
          <w:tcPr>
            <w:tcW w:w="60"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center"/>
              <w:rPr/>
            </w:pPr>
            <w:r>
              <w:rPr/>
              <w:t>10,107</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pPr>
            <w:r>
              <w:rPr/>
              <w:t>4.40</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2/3/2024</w:t>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center"/>
              <w:rPr/>
            </w:pPr>
            <w:r>
              <w:rPr/>
              <w:t></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4/8/2015</w:t>
            </w:r>
          </w:p>
        </w:tc>
        <w:tc>
          <w:tcPr>
            <w:tcW w:w="60"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center"/>
              <w:rPr/>
            </w:pPr>
            <w:r>
              <w:rPr/>
              <w:t>6,738</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pPr>
            <w:r>
              <w:rPr/>
              <w:t>4.40</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4/7/2025</w:t>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center"/>
              <w:rPr/>
            </w:pPr>
            <w:r>
              <w:rPr/>
              <w:t></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4/7/2016</w:t>
            </w:r>
          </w:p>
        </w:tc>
        <w:tc>
          <w:tcPr>
            <w:tcW w:w="60"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center"/>
              <w:rPr/>
            </w:pPr>
            <w:r>
              <w:rPr/>
              <w:t>35,377</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pPr>
            <w:r>
              <w:rPr/>
              <w:t>0.84</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4/6/2026</w:t>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center"/>
              <w:rPr/>
            </w:pPr>
            <w:r>
              <w:rPr/>
              <w:t></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4/4/2018</w:t>
            </w:r>
          </w:p>
        </w:tc>
        <w:tc>
          <w:tcPr>
            <w:tcW w:w="60"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center"/>
              <w:rPr/>
            </w:pPr>
            <w:r>
              <w:rPr/>
              <w:t>4,209</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pPr>
            <w:r>
              <w:rPr/>
              <w:t>0.42</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4/3/2028</w:t>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center"/>
              <w:rPr/>
            </w:pPr>
            <w:r>
              <w:rPr/>
              <w:t></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3/22/2019</w:t>
            </w:r>
          </w:p>
        </w:tc>
        <w:tc>
          <w:tcPr>
            <w:tcW w:w="60"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center"/>
              <w:rPr/>
            </w:pPr>
            <w:r>
              <w:rPr/>
              <w:t>34,788</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589(2)</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pPr>
            <w:r>
              <w:rPr/>
              <w:t>0.77</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12/31/2028</w:t>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center"/>
              <w:rPr/>
            </w:pPr>
            <w:r>
              <w:rPr/>
              <w:t></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3/22/2019</w:t>
            </w:r>
          </w:p>
        </w:tc>
        <w:tc>
          <w:tcPr>
            <w:tcW w:w="60"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center"/>
              <w:rPr/>
            </w:pPr>
            <w:r>
              <w:rPr/>
              <w:t>11,792(4)</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pPr>
            <w:r>
              <w:rPr/>
              <w:t>0.77</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12/31/2028</w:t>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center"/>
              <w:rPr/>
            </w:pPr>
            <w:r>
              <w:rPr/>
              <w:t></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4/15/2020</w:t>
            </w:r>
          </w:p>
        </w:tc>
        <w:tc>
          <w:tcPr>
            <w:tcW w:w="60"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center"/>
              <w:rPr/>
            </w:pPr>
            <w:r>
              <w:rPr/>
              <w:t>23,758</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6,565(1)</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pPr>
            <w:r>
              <w:rPr/>
              <w:t>0.77</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4/14/2030</w:t>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center"/>
              <w:rPr/>
            </w:pPr>
            <w:r>
              <w:rPr/>
              <w:t></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2/8/2022</w:t>
            </w:r>
          </w:p>
        </w:tc>
        <w:tc>
          <w:tcPr>
            <w:tcW w:w="60"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center"/>
              <w:rPr/>
            </w:pPr>
            <w:r>
              <w:rPr/>
              <w:t>28,411(6)</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center"/>
              <w:rPr/>
            </w:pPr>
            <w:r>
              <w:rPr/>
              <w:t>52,276</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3/10/2022</w:t>
            </w:r>
          </w:p>
        </w:tc>
        <w:tc>
          <w:tcPr>
            <w:tcW w:w="60"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center"/>
              <w:rPr/>
            </w:pPr>
            <w:r>
              <w:rPr/>
              <w:t>27,758(5)</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pPr>
            <w:r>
              <w:rPr/>
              <w:t>2.29</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3/9/2032</w:t>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center"/>
              <w:rPr/>
            </w:pPr>
            <w:r>
              <w:rPr/>
              <w:t></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2/8/2023</w:t>
            </w:r>
          </w:p>
        </w:tc>
        <w:tc>
          <w:tcPr>
            <w:tcW w:w="60"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center"/>
              <w:rPr/>
            </w:pPr>
            <w:r>
              <w:rPr/>
              <w:t>194,141(3)</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center"/>
              <w:rPr/>
            </w:pPr>
            <w:r>
              <w:rPr/>
              <w:t>357,219</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3/1/2023</w:t>
            </w:r>
          </w:p>
        </w:tc>
        <w:tc>
          <w:tcPr>
            <w:tcW w:w="60"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center"/>
              <w:rPr/>
            </w:pPr>
            <w:r>
              <w:rPr/>
              <w:t>148,448(5)</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pPr>
            <w:r>
              <w:rPr/>
              <w:t>2.00</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2/28/2033</w:t>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center"/>
              <w:rPr/>
            </w:pPr>
            <w:r>
              <w:rPr/>
              <w:t></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7/24/2023</w:t>
            </w:r>
          </w:p>
        </w:tc>
        <w:tc>
          <w:tcPr>
            <w:tcW w:w="60"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20,659(8)</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pPr>
            <w:r>
              <w:rPr/>
              <w:t>1.20</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7/23/2033</w:t>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center"/>
              <w:rPr/>
            </w:pPr>
            <w:r>
              <w:rPr/>
              <w:t></w:t>
            </w:r>
          </w:p>
        </w:tc>
      </w:tr>
      <w:tr>
        <w:trPr/>
        <w:tc>
          <w:tcPr>
            <w:tcW w:w="14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7/24/2023</w:t>
            </w:r>
          </w:p>
        </w:tc>
        <w:tc>
          <w:tcPr>
            <w:tcW w:w="60"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6,479(9)</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pPr>
            <w:r>
              <w:rPr/>
              <w:t>1.20</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7/23/2033</w:t>
            </w:r>
          </w:p>
        </w:tc>
        <w:tc>
          <w:tcPr>
            <w:tcW w:w="60"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center"/>
              <w:rPr/>
            </w:pPr>
            <w:r>
              <w:rPr/>
              <w:t></w:t>
            </w:r>
          </w:p>
        </w:tc>
      </w:tr>
      <w:tr>
        <w:trPr/>
        <w:tc>
          <w:tcPr>
            <w:tcW w:w="14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Kieran OKane</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center"/>
              <w:rPr/>
            </w:pPr>
            <w:r>
              <w:rPr/>
              <w:t>4/4/2018</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tcPr>
          <w:p>
            <w:pPr>
              <w:pStyle w:val="TableContents"/>
              <w:bidi w:val="0"/>
              <w:spacing w:before="0" w:after="283"/>
              <w:jc w:val="center"/>
              <w:rPr/>
            </w:pPr>
            <w:r>
              <w:rPr/>
              <w:t>12,634</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center"/>
              <w:rPr/>
            </w:pPr>
            <w:r>
              <w:rPr/>
              <w:t>0.42</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4/3/2028</w:t>
            </w:r>
          </w:p>
        </w:tc>
        <w:tc>
          <w:tcPr>
            <w:tcW w:w="60"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center"/>
              <w:rPr/>
            </w:pPr>
            <w:r>
              <w:rPr/>
              <w:t>3/22/2019</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tcPr>
          <w:p>
            <w:pPr>
              <w:pStyle w:val="TableContents"/>
              <w:bidi w:val="0"/>
              <w:spacing w:before="0" w:after="283"/>
              <w:jc w:val="center"/>
              <w:rPr/>
            </w:pPr>
            <w:r>
              <w:rPr/>
              <w:t>12,424</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210(1)</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center"/>
              <w:rPr/>
            </w:pPr>
            <w:r>
              <w:rPr/>
              <w:t>0.77</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12/31/2028</w:t>
            </w:r>
          </w:p>
        </w:tc>
        <w:tc>
          <w:tcPr>
            <w:tcW w:w="60"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center"/>
              <w:rPr/>
            </w:pPr>
            <w:r>
              <w:rPr/>
              <w:t>4/15/2020</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tcPr>
          <w:p>
            <w:pPr>
              <w:pStyle w:val="TableContents"/>
              <w:bidi w:val="0"/>
              <w:spacing w:before="0" w:after="283"/>
              <w:jc w:val="center"/>
              <w:rPr/>
            </w:pPr>
            <w:r>
              <w:rPr/>
              <w:t>29,511</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5,865(1)</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center"/>
              <w:rPr/>
            </w:pPr>
            <w:r>
              <w:rPr/>
              <w:t>0.77</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4/14/2030</w:t>
            </w:r>
          </w:p>
        </w:tc>
        <w:tc>
          <w:tcPr>
            <w:tcW w:w="60"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center"/>
              <w:rPr/>
            </w:pPr>
            <w:r>
              <w:rPr/>
              <w:t>2/8/2022</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center"/>
              <w:rPr/>
            </w:pPr>
            <w:r>
              <w:rPr/>
              <w:t>13,405(6)</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24,665</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center"/>
              <w:rPr/>
            </w:pPr>
            <w:r>
              <w:rPr/>
              <w:t>3/10/2022</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tcPr>
          <w:p>
            <w:pPr>
              <w:pStyle w:val="TableContents"/>
              <w:bidi w:val="0"/>
              <w:spacing w:before="0" w:after="283"/>
              <w:jc w:val="center"/>
              <w:rPr/>
            </w:pPr>
            <w:r>
              <w:rPr/>
              <w:t>6,162(5)</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center"/>
              <w:rPr/>
            </w:pPr>
            <w:r>
              <w:rPr/>
              <w:t>2.29</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3/9/2032</w:t>
            </w:r>
          </w:p>
        </w:tc>
        <w:tc>
          <w:tcPr>
            <w:tcW w:w="60"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center"/>
              <w:rPr/>
            </w:pPr>
            <w:r>
              <w:rPr/>
              <w:t>2/8/2023</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center"/>
              <w:rPr/>
            </w:pPr>
            <w:r>
              <w:rPr/>
              <w:t>122,135(3)</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224,728</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center"/>
              <w:rPr/>
            </w:pPr>
            <w:r>
              <w:rPr/>
              <w:t>3/1/2023</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tcPr>
          <w:p>
            <w:pPr>
              <w:pStyle w:val="TableContents"/>
              <w:bidi w:val="0"/>
              <w:spacing w:before="0" w:after="283"/>
              <w:jc w:val="center"/>
              <w:rPr/>
            </w:pPr>
            <w:r>
              <w:rPr/>
              <w:t>52,531(5)</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center"/>
              <w:rPr/>
            </w:pPr>
            <w:r>
              <w:rPr/>
              <w:t>2.00</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2/28/2033</w:t>
            </w:r>
          </w:p>
        </w:tc>
        <w:tc>
          <w:tcPr>
            <w:tcW w:w="60"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center"/>
              <w:rPr/>
            </w:pPr>
            <w:r>
              <w:rPr/>
              <w:t>7/24/2023</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8,864(8)</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center"/>
              <w:rPr/>
            </w:pPr>
            <w:r>
              <w:rPr/>
              <w:t>1.20</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7/23/2033</w:t>
            </w:r>
          </w:p>
        </w:tc>
        <w:tc>
          <w:tcPr>
            <w:tcW w:w="60"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w:t>
            </w:r>
          </w:p>
        </w:tc>
      </w:tr>
      <w:tr>
        <w:trPr/>
        <w:tc>
          <w:tcPr>
            <w:tcW w:w="14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center"/>
              <w:rPr/>
            </w:pPr>
            <w:r>
              <w:rPr/>
              <w:t>7/24/2023</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2,700(9)</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center"/>
              <w:rPr/>
            </w:pPr>
            <w:r>
              <w:rPr/>
              <w:t>1.20</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7/23/2033</w:t>
            </w:r>
          </w:p>
        </w:tc>
        <w:tc>
          <w:tcPr>
            <w:tcW w:w="60"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center"/>
              <w:rPr/>
            </w:pPr>
            <w:r>
              <w:rPr/>
              <w:t></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w:t>
            </w:r>
          </w:p>
        </w:tc>
      </w:tr>
    </w:tbl>
    <w:tbl>
      <w:tblPr>
        <w:tblW w:w="5000" w:type="pct"/>
        <w:jc w:val="left"/>
        <w:tblInd w:w="0" w:type="dxa"/>
        <w:tblLayout w:type="fixed"/>
        <w:tblCellMar>
          <w:top w:w="0" w:type="dxa"/>
          <w:left w:w="0" w:type="dxa"/>
          <w:bottom w:w="0" w:type="dxa"/>
          <w:right w:w="0" w:type="dxa"/>
        </w:tblCellMar>
      </w:tblPr>
      <w:tblGrid>
        <w:gridCol w:w="203"/>
        <w:gridCol w:w="510"/>
        <w:gridCol w:w="9492"/>
      </w:tblGrid>
      <w:tr>
        <w:trPr/>
        <w:tc>
          <w:tcPr>
            <w:tcW w:w="20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stock options vest in a series of 60 successive, equal monthly installments measured from the vesting commencement date. </w:t>
            </w:r>
          </w:p>
        </w:tc>
      </w:tr>
    </w:tbl>
    <w:tbl>
      <w:tblPr>
        <w:tblW w:w="5000" w:type="pct"/>
        <w:jc w:val="left"/>
        <w:tblInd w:w="0" w:type="dxa"/>
        <w:tblLayout w:type="fixed"/>
        <w:tblCellMar>
          <w:top w:w="0" w:type="dxa"/>
          <w:left w:w="0" w:type="dxa"/>
          <w:bottom w:w="0" w:type="dxa"/>
          <w:right w:w="0" w:type="dxa"/>
        </w:tblCellMar>
      </w:tblPr>
      <w:tblGrid>
        <w:gridCol w:w="203"/>
        <w:gridCol w:w="510"/>
        <w:gridCol w:w="9492"/>
      </w:tblGrid>
      <w:tr>
        <w:trPr/>
        <w:tc>
          <w:tcPr>
            <w:tcW w:w="20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Two fifths of these time-vested options vest on the second anniversary of the vesting commencement date, with the remaining balance vesting in a series of 36 successive equal monthly installments measured from the second anniversary of the vesting commencement date, subject to the award recipients continued employment through the applicable vesting date. In September 2020, the board of directors amended these time-vested options such that 21/60 of the time-vested options vest on the date that is 21 months after the vesting commencement date, with the remaining balance vesting in a series of 39 successive equal monthly installments measured from such date, subject to the award recipients continued employment through the applicable vesting date.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32</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203"/>
        <w:gridCol w:w="510"/>
        <w:gridCol w:w="9492"/>
      </w:tblGrid>
      <w:tr>
        <w:trPr/>
        <w:tc>
          <w:tcPr>
            <w:tcW w:w="20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time-vested RSUs vest in a series of four successive equal annual installments measured from the vesting commencement date, subject to the award recipients continued employment through the applicable vesting date. </w:t>
            </w:r>
          </w:p>
        </w:tc>
      </w:tr>
    </w:tbl>
    <w:tbl>
      <w:tblPr>
        <w:tblW w:w="5000" w:type="pct"/>
        <w:jc w:val="left"/>
        <w:tblInd w:w="0" w:type="dxa"/>
        <w:tblLayout w:type="fixed"/>
        <w:tblCellMar>
          <w:top w:w="0" w:type="dxa"/>
          <w:left w:w="0" w:type="dxa"/>
          <w:bottom w:w="0" w:type="dxa"/>
          <w:right w:w="0" w:type="dxa"/>
        </w:tblCellMar>
      </w:tblPr>
      <w:tblGrid>
        <w:gridCol w:w="202"/>
        <w:gridCol w:w="510"/>
        <w:gridCol w:w="9493"/>
      </w:tblGrid>
      <w:tr>
        <w:trPr/>
        <w:tc>
          <w:tcPr>
            <w:tcW w:w="20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year ended December 31, 2019, the board of directors awarded Mr. Hutton and Ms. Harper Cowie performance-vested options representing the right to purchase 25,269 and 17,688 shares of our common stock, respectively. One third of these performance-vested options were eligible to vest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2019 tranche, the board of directors determined that the performance hurdle was not met. As a result, one third of each of Mr. Huttons and Ms. Harper Cowies awards were cancelled, and two thirds of each of Mr. Huttons and Ms. Harper Cowies awards remained outstanding. In addition, in September 2020 and in light of the impact of the COVID-19 pandemic on the Companys operations and other considerations, the board of directors amended the performance-vested options to adjust the performance hurdles for the 2020 tranche and the 2021 tranche to $28.6 million and $51.5 million, respectively. For each of the 2020 tranche and the 2021 tranche, the board of directors determined that the applicable performance hurdles were met and one third of each of Mr. Huttons and Ms. Harper Cowies performance-vested option award became fully vested and exercisable on January 1, 2021 and January 1, 2022, respectively. </w:t>
            </w:r>
          </w:p>
        </w:tc>
      </w:tr>
    </w:tbl>
    <w:tbl>
      <w:tblPr>
        <w:tblW w:w="5000" w:type="pct"/>
        <w:jc w:val="left"/>
        <w:tblInd w:w="0" w:type="dxa"/>
        <w:tblLayout w:type="fixed"/>
        <w:tblCellMar>
          <w:top w:w="0" w:type="dxa"/>
          <w:left w:w="0" w:type="dxa"/>
          <w:bottom w:w="0" w:type="dxa"/>
          <w:right w:w="0" w:type="dxa"/>
        </w:tblCellMar>
      </w:tblPr>
      <w:tblGrid>
        <w:gridCol w:w="202"/>
        <w:gridCol w:w="509"/>
        <w:gridCol w:w="9494"/>
      </w:tblGrid>
      <w:tr>
        <w:trPr/>
        <w:tc>
          <w:tcPr>
            <w:tcW w:w="20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vested at Date of Grant. </w:t>
            </w:r>
          </w:p>
        </w:tc>
      </w:tr>
    </w:tbl>
    <w:tbl>
      <w:tblPr>
        <w:tblW w:w="5000" w:type="pct"/>
        <w:jc w:val="left"/>
        <w:tblInd w:w="0" w:type="dxa"/>
        <w:tblLayout w:type="fixed"/>
        <w:tblCellMar>
          <w:top w:w="0" w:type="dxa"/>
          <w:left w:w="0" w:type="dxa"/>
          <w:bottom w:w="0" w:type="dxa"/>
          <w:right w:w="0" w:type="dxa"/>
        </w:tblCellMar>
      </w:tblPr>
      <w:tblGrid>
        <w:gridCol w:w="203"/>
        <w:gridCol w:w="510"/>
        <w:gridCol w:w="9492"/>
      </w:tblGrid>
      <w:tr>
        <w:trPr/>
        <w:tc>
          <w:tcPr>
            <w:tcW w:w="20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time-vested RSUs vest in a series of 16 successive equal quarterly installments measured from the vesting commencement date, subject to the award recipients continued employment through the applicable vesting date. </w:t>
            </w:r>
          </w:p>
        </w:tc>
      </w:tr>
    </w:tbl>
    <w:tbl>
      <w:tblPr>
        <w:tblW w:w="5000" w:type="pct"/>
        <w:jc w:val="left"/>
        <w:tblInd w:w="0" w:type="dxa"/>
        <w:tblLayout w:type="fixed"/>
        <w:tblCellMar>
          <w:top w:w="0" w:type="dxa"/>
          <w:left w:w="0" w:type="dxa"/>
          <w:bottom w:w="0" w:type="dxa"/>
          <w:right w:w="0" w:type="dxa"/>
        </w:tblCellMar>
      </w:tblPr>
      <w:tblGrid>
        <w:gridCol w:w="202"/>
        <w:gridCol w:w="509"/>
        <w:gridCol w:w="9494"/>
      </w:tblGrid>
      <w:tr>
        <w:trPr/>
        <w:tc>
          <w:tcPr>
            <w:tcW w:w="20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 is calculated based on $1.84 per share, the closing price of our common stock on December 30, 2023. </w:t>
            </w:r>
          </w:p>
        </w:tc>
      </w:tr>
    </w:tbl>
    <w:tbl>
      <w:tblPr>
        <w:tblW w:w="5000" w:type="pct"/>
        <w:jc w:val="left"/>
        <w:tblInd w:w="0" w:type="dxa"/>
        <w:tblLayout w:type="fixed"/>
        <w:tblCellMar>
          <w:top w:w="0" w:type="dxa"/>
          <w:left w:w="0" w:type="dxa"/>
          <w:bottom w:w="0" w:type="dxa"/>
          <w:right w:w="0" w:type="dxa"/>
        </w:tblCellMar>
      </w:tblPr>
      <w:tblGrid>
        <w:gridCol w:w="203"/>
        <w:gridCol w:w="509"/>
        <w:gridCol w:w="9493"/>
      </w:tblGrid>
      <w:tr>
        <w:trPr/>
        <w:tc>
          <w:tcPr>
            <w:tcW w:w="20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time-vested options vest on August 1, 2024 (the first day of the month following the first anniversary of the month of grant under the stock option exchange program described under Compensation of Named Executive Officers  Equity Awards  Stock Option Exchange Program). </w:t>
            </w:r>
          </w:p>
        </w:tc>
      </w:tr>
    </w:tbl>
    <w:tbl>
      <w:tblPr>
        <w:tblW w:w="5000" w:type="pct"/>
        <w:jc w:val="left"/>
        <w:tblInd w:w="0" w:type="dxa"/>
        <w:tblLayout w:type="fixed"/>
        <w:tblCellMar>
          <w:top w:w="0" w:type="dxa"/>
          <w:left w:w="0" w:type="dxa"/>
          <w:bottom w:w="0" w:type="dxa"/>
          <w:right w:w="0" w:type="dxa"/>
        </w:tblCellMar>
      </w:tblPr>
      <w:tblGrid>
        <w:gridCol w:w="203"/>
        <w:gridCol w:w="509"/>
        <w:gridCol w:w="9493"/>
      </w:tblGrid>
      <w:tr>
        <w:trPr/>
        <w:tc>
          <w:tcPr>
            <w:tcW w:w="20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time-vested options vest in a series of 31 successive equal monthly installments beginning on August 1, 2024 (the first day of the month following the first anniversary of the month of grant under the stock option exchange program described under Compensation of Named Executive Officers  Equity Awards  Stock Option Exchange Program). The number of installments is equal to the number of months that were remaining the in the vesting schedule of the stock options that were tendered under the stock option exchange program as of immediately prior to the exchange. </w:t>
            </w:r>
          </w:p>
        </w:tc>
      </w:tr>
    </w:tbl>
    <w:p>
      <w:pPr>
        <w:pStyle w:val="TextBody"/>
        <w:bidi w:val="0"/>
        <w:spacing w:before="240" w:after="0"/>
        <w:jc w:val="left"/>
        <w:rPr>
          <w:rFonts w:ascii="Times New Roman" w:hAnsi="Times New Roman"/>
          <w:b/>
          <w:color w:val="305494"/>
          <w:sz w:val="28"/>
        </w:rPr>
      </w:pPr>
      <w:bookmarkStart w:id="36" w:name="toc674951_34"/>
      <w:bookmarkEnd w:id="36"/>
      <w:r>
        <w:rPr>
          <w:rFonts w:ascii="Times New Roman" w:hAnsi="Times New Roman"/>
          <w:b/>
          <w:color w:val="305494"/>
          <w:sz w:val="28"/>
        </w:rPr>
        <w:t xml:space="preserve">Additional Matters </w:t>
      </w:r>
    </w:p>
    <w:p>
      <w:pPr>
        <w:pStyle w:val="TextBody"/>
        <w:bidi w:val="0"/>
        <w:spacing w:before="240" w:after="0"/>
        <w:jc w:val="left"/>
        <w:rPr>
          <w:rFonts w:ascii="Times New Roman" w:hAnsi="Times New Roman"/>
          <w:b/>
          <w:i/>
          <w:sz w:val="20"/>
        </w:rPr>
      </w:pPr>
      <w:r>
        <w:rPr>
          <w:rFonts w:ascii="Times New Roman" w:hAnsi="Times New Roman"/>
          <w:b/>
          <w:i/>
          <w:sz w:val="20"/>
        </w:rPr>
        <w:t xml:space="preserve">Offer Letter Agreements </w:t>
      </w:r>
    </w:p>
    <w:p>
      <w:pPr>
        <w:pStyle w:val="TextBody"/>
        <w:bidi w:val="0"/>
        <w:spacing w:before="240" w:after="0"/>
        <w:jc w:val="left"/>
        <w:rPr>
          <w:rFonts w:ascii="Times New Roman" w:hAnsi="Times New Roman"/>
          <w:sz w:val="20"/>
        </w:rPr>
      </w:pPr>
      <w:r>
        <w:rPr>
          <w:rFonts w:ascii="Times New Roman" w:hAnsi="Times New Roman"/>
          <w:sz w:val="20"/>
        </w:rPr>
        <w:t xml:space="preserve">We entered in an offer letter agreement with each of Mr. Hutton and Ms. Harper Cowie on February 23, 2020. The offer letter agreements, as amended in November of 2020, provide for annual salary subject to the discretion of our board of directors, an annual cash incentive opportunity targeted at 100% of annual base salary for Mr. Hutton and 50% of annual base salary for Ms. Harper Cowie, and eligibility to participate in our employee benefit plans, subject to the terms of those plans. The offer letter agreements also provide for certain severance benefits. </w:t>
      </w:r>
    </w:p>
    <w:p>
      <w:pPr>
        <w:pStyle w:val="TextBody"/>
        <w:bidi w:val="0"/>
        <w:spacing w:before="240" w:after="0"/>
        <w:jc w:val="left"/>
        <w:rPr>
          <w:rFonts w:ascii="Times New Roman" w:hAnsi="Times New Roman"/>
          <w:sz w:val="20"/>
        </w:rPr>
      </w:pPr>
      <w:r>
        <w:rPr>
          <w:rFonts w:ascii="Times New Roman" w:hAnsi="Times New Roman"/>
          <w:sz w:val="20"/>
        </w:rPr>
        <w:t xml:space="preserve">On April 23, 2024, each of Mr. Hutton and Ms. Harper Cowie entered into an Executive Severance and Change in Control Agreement which replaces and supersedes their offer letter agreement. Please see Executive Severance and Change in Control Agreements below for a summary of the terms of such agreements.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33</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Executive Severance and Change in Control Agreements </w:t>
      </w:r>
    </w:p>
    <w:p>
      <w:pPr>
        <w:pStyle w:val="TextBody"/>
        <w:bidi w:val="0"/>
        <w:spacing w:before="240" w:after="0"/>
        <w:jc w:val="left"/>
        <w:rPr>
          <w:rFonts w:ascii="Times New Roman" w:hAnsi="Times New Roman"/>
          <w:sz w:val="20"/>
        </w:rPr>
      </w:pPr>
      <w:r>
        <w:rPr>
          <w:rFonts w:ascii="Times New Roman" w:hAnsi="Times New Roman"/>
          <w:sz w:val="20"/>
        </w:rPr>
        <w:t xml:space="preserve">On April 16, 2024, the Company approved a form of Executive Severance and Change in Control Agreement that it intends to enter into with each of its executive officers. On April 23, 2024, each of Mr. Hutton, Ms. Harper Cowie and Mr. OKane entered into an Executive Severance and Change in Control Agreement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the event an executive who is party to an Executive Severance and Change in Control Agreement experiences a termination of employment without cause (as defined in the Executive Severance and Change in Control Agreement), other than within three months prior to, or one year following, the consummation of a change in control (as defined in the Executive Severance and Change in Control Agreement), the executive will be entitled to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 salary continuation for a period of nine months or, in the case of the chief executive officer, 12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chief executive officer only, a lump sum cash payment equal to 100% of his or her target annual cash incentive for the year in which the qualifying termination of employment occurs;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Company-paid COBRA premium payments for the executive and his or her covered dependents for up to 12 months.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the executives employment is terminated without cause or the executive resigns for good reason (as defined in the Executive Severance and Change in Control Agreement) within three months prior to, or one year following, the consummation of a change in control, the executive will be entitled to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cash payment equal to 100%, or in the case of the chief executive officer, 150%, of his or her then-current annual base salary;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cash payment equal to 100%, or in the case of the chief executive officer, 150%, of his or her target annual cash incentive for the year in which the qualifying termination of employment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cash payment equal to 12 months, or in the case of the chief executive officer, 18 months, of COBRA premium payments for the executive and his or her covered dependents;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accelerated vesting of all equity awards which vest based solely on the executives continued service with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chief executive officer and chief financial officer only, a lump sum cash payment of $15,000 to help defray legal fees, tax and accounting fees, executive outplacement services, and other costs associated with transitional matters.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payment of severance benefits under the Executive Severance and Change in Control Agreements is subject to a general release of claims by the executive in favor of the Company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severance benefits payable under the Executive Severance and Change in Control Agreements provide reasonable compensation in the form of severance pay and certain limited benefits to our executive officers in the event of a qualifying termination of employment to facilitate the transition to new employment. In addition, we believe that these benefits help maintain our executive officers continued focus on their assigned duties to maximize stockholder value in the event of a potential change in control transaction, and mitigate the risk of subsequent disputes or litigation. The terms and conditions of these agreements were approved by the compensation committee after an analysis of competitive market data in consultation with our independent executive compensation consultant.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filed the form of Executive Severance and Change in Control Agreement as Exhibit 10.42 to the Companys Registration Statement on Form S-1 filed April 23, 2024. The foregoing summary does not purport to be complete and is qualified in its entirety by reference to the full text of such form. </w:t>
      </w:r>
    </w:p>
    <w:p>
      <w:pPr>
        <w:pStyle w:val="TextBody"/>
        <w:bidi w:val="0"/>
        <w:spacing w:before="240" w:after="0"/>
        <w:jc w:val="left"/>
        <w:rPr>
          <w:rFonts w:ascii="Times New Roman" w:hAnsi="Times New Roman"/>
          <w:b/>
          <w:i/>
          <w:sz w:val="20"/>
        </w:rPr>
      </w:pPr>
      <w:r>
        <w:rPr>
          <w:rFonts w:ascii="Times New Roman" w:hAnsi="Times New Roman"/>
          <w:b/>
          <w:i/>
          <w:sz w:val="20"/>
        </w:rPr>
        <w:t xml:space="preserve">401(k) Plan </w:t>
      </w:r>
    </w:p>
    <w:p>
      <w:pPr>
        <w:pStyle w:val="TextBody"/>
        <w:bidi w:val="0"/>
        <w:spacing w:before="240" w:after="0"/>
        <w:jc w:val="left"/>
        <w:rPr>
          <w:rFonts w:ascii="Times New Roman" w:hAnsi="Times New Roman"/>
          <w:sz w:val="20"/>
        </w:rPr>
      </w:pPr>
      <w:r>
        <w:rPr>
          <w:rFonts w:ascii="Times New Roman" w:hAnsi="Times New Roman"/>
          <w:sz w:val="20"/>
        </w:rPr>
        <w:t xml:space="preserve">The Company participates in a multiple employer tax-qualified 401(k) savings plan which allows participants to defer eligible compensation up to the maximum amount allowed under Internal Revenue Service guidelines. The Company does not currently make any discretionary or employer matching contributions under the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34</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Clawback Policy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the Company adopted a Dodd-Frank Clawback Policy to comply with SEC and Nasdaq listing rules. Under that policy, the Company is required in certain situations to recoup incentive compensation paid or payable to certain current or former executive officers of the Company, including the named executive officers, in the event of an accounting restatement.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35</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color w:val="305494"/>
          <w:sz w:val="32"/>
        </w:rPr>
      </w:pPr>
      <w:bookmarkStart w:id="37" w:name="toc674951_35"/>
      <w:bookmarkEnd w:id="37"/>
      <w:r>
        <w:rPr>
          <w:rFonts w:ascii="Times New Roman" w:hAnsi="Times New Roman"/>
          <w:b/>
          <w:color w:val="305494"/>
          <w:sz w:val="32"/>
        </w:rPr>
        <w:t xml:space="preserve">STOCK OWNERSHIP </w:t>
      </w:r>
    </w:p>
    <w:p>
      <w:pPr>
        <w:pStyle w:val="TextBody"/>
        <w:bidi w:val="0"/>
        <w:spacing w:before="360" w:after="0"/>
        <w:jc w:val="left"/>
        <w:rPr>
          <w:rFonts w:ascii="Times New Roman" w:hAnsi="Times New Roman"/>
          <w:color w:val="305494"/>
          <w:sz w:val="28"/>
        </w:rPr>
      </w:pPr>
      <w:bookmarkStart w:id="38" w:name="toc674951_36"/>
      <w:bookmarkEnd w:id="38"/>
      <w:r>
        <w:rPr>
          <w:rFonts w:ascii="Times New Roman" w:hAnsi="Times New Roman"/>
          <w:color w:val="305494"/>
          <w:sz w:val="28"/>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with respect to the beneficial ownership of our common stock as of March 1,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directors and executive officers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us to beneficially own more than 5% of our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of the SEC, and therefore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March 1, 2024 and RSUs representing the right to receive shares of common stock that were deferred under the Director Deferred Compensation Plan or that vest within 60 days of March 1, 2024, to be outstanding and to be beneficially owned by the person holding the option or restricted stock unit for the purpose of computing the percentage ownership of that person but have not treated them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We have based percentage ownership of common stock on 97,158,580 shares of common stock outstanding as of March 1, 2024. Unless otherwise indicated, the address for each beneficial owner listed in the table below is c/o Biodesix, Inc., 919 West Dillon Rd., Louisville, CO 80027.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90"/>
        <w:gridCol w:w="277"/>
        <w:gridCol w:w="60"/>
        <w:gridCol w:w="1229"/>
        <w:gridCol w:w="60"/>
        <w:gridCol w:w="277"/>
        <w:gridCol w:w="96"/>
        <w:gridCol w:w="735"/>
        <w:gridCol w:w="281"/>
      </w:tblGrid>
      <w:tr>
        <w:trPr/>
        <w:tc>
          <w:tcPr>
            <w:tcW w:w="7190"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19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4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w:t>
              <w:br/>
              <w:t>Owned</w:t>
            </w:r>
          </w:p>
        </w:tc>
        <w:tc>
          <w:tcPr>
            <w:tcW w:w="281" w:type="dxa"/>
            <w:tcBorders/>
            <w:vAlign w:val="bottom"/>
          </w:tcPr>
          <w:p>
            <w:pPr>
              <w:pStyle w:val="TableContents"/>
              <w:bidi w:val="0"/>
              <w:spacing w:before="0" w:after="283"/>
              <w:jc w:val="left"/>
              <w:rPr/>
            </w:pPr>
            <w:r>
              <w:rPr/>
              <w:t> </w:t>
            </w:r>
          </w:p>
        </w:tc>
      </w:tr>
      <w:tr>
        <w:trPr/>
        <w:tc>
          <w:tcPr>
            <w:tcW w:w="71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277" w:type="dxa"/>
            <w:tcBorders/>
            <w:vAlign w:val="bottom"/>
          </w:tcPr>
          <w:p>
            <w:pPr>
              <w:pStyle w:val="TableContents"/>
              <w:bidi w:val="0"/>
              <w:spacing w:before="0" w:after="283"/>
              <w:jc w:val="left"/>
              <w:rPr/>
            </w:pPr>
            <w:r>
              <w:rPr/>
              <w:t>  </w:t>
            </w:r>
          </w:p>
        </w:tc>
        <w:tc>
          <w:tcPr>
            <w:tcW w:w="128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Shares </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831" w:type="dxa"/>
            <w:gridSpan w:val="2"/>
            <w:tcBorders/>
            <w:vAlign w:val="bottom"/>
          </w:tcPr>
          <w:p>
            <w:pPr>
              <w:pStyle w:val="TableContents"/>
              <w:pBdr>
                <w:bottom w:val="single" w:sz="8" w:space="1" w:color="000000"/>
              </w:pBdr>
              <w:bidi w:val="0"/>
              <w:spacing w:before="0" w:after="0"/>
              <w:jc w:val="center"/>
              <w:rPr/>
            </w:pPr>
            <w:r>
              <w:rPr/>
              <w:t>  </w:t>
            </w:r>
            <w:r>
              <w:rPr>
                <w:rFonts w:ascii="Times New Roman" w:hAnsi="Times New Roman"/>
                <w:b/>
                <w:sz w:val="16"/>
              </w:rPr>
              <w:t>%  </w:t>
            </w:r>
          </w:p>
        </w:tc>
        <w:tc>
          <w:tcPr>
            <w:tcW w:w="281" w:type="dxa"/>
            <w:tcBorders/>
            <w:vAlign w:val="bottom"/>
          </w:tcPr>
          <w:p>
            <w:pPr>
              <w:pStyle w:val="TableContents"/>
              <w:bidi w:val="0"/>
              <w:spacing w:before="0" w:after="283"/>
              <w:jc w:val="left"/>
              <w:rPr/>
            </w:pPr>
            <w:r>
              <w:rPr/>
              <w:t> </w:t>
            </w:r>
          </w:p>
        </w:tc>
      </w:tr>
      <w:tr>
        <w:trPr/>
        <w:tc>
          <w:tcPr>
            <w:tcW w:w="71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Principal Stockholders:</w:t>
            </w:r>
          </w:p>
        </w:tc>
        <w:tc>
          <w:tcPr>
            <w:tcW w:w="2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73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190" w:type="dxa"/>
            <w:tcBorders/>
          </w:tcPr>
          <w:p>
            <w:pPr>
              <w:pStyle w:val="TableContents"/>
              <w:bidi w:val="0"/>
              <w:spacing w:before="0" w:after="0"/>
              <w:jc w:val="left"/>
              <w:rPr>
                <w:rFonts w:ascii="Times New Roman" w:hAnsi="Times New Roman"/>
                <w:sz w:val="20"/>
              </w:rPr>
            </w:pPr>
            <w:r>
              <w:rPr>
                <w:rFonts w:ascii="Times New Roman" w:hAnsi="Times New Roman"/>
                <w:sz w:val="20"/>
              </w:rPr>
              <w:t>Jack Schuler and entities affiliated with Jack Schuler(1)</w:t>
            </w:r>
          </w:p>
        </w:tc>
        <w:tc>
          <w:tcPr>
            <w:tcW w:w="2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31,038,797</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31.8</w:t>
            </w:r>
          </w:p>
        </w:tc>
        <w:tc>
          <w:tcPr>
            <w:tcW w:w="281" w:type="dxa"/>
            <w:tcBorders/>
            <w:vAlign w:val="bottom"/>
          </w:tcPr>
          <w:p>
            <w:pPr>
              <w:pStyle w:val="TableContents"/>
              <w:bidi w:val="0"/>
              <w:spacing w:before="0" w:after="283"/>
              <w:jc w:val="left"/>
              <w:rPr/>
            </w:pPr>
            <w:r>
              <w:rPr/>
              <w:t>% </w:t>
            </w:r>
          </w:p>
        </w:tc>
      </w:tr>
      <w:tr>
        <w:trPr/>
        <w:tc>
          <w:tcPr>
            <w:tcW w:w="7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Lawrence T. Kennedy, Jr. and entities affiliated with Lawrence T. Kennedy, Jr.(2)</w:t>
            </w:r>
          </w:p>
        </w:tc>
        <w:tc>
          <w:tcPr>
            <w:tcW w:w="2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21,253,376</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21.8</w:t>
            </w:r>
          </w:p>
        </w:tc>
        <w:tc>
          <w:tcPr>
            <w:tcW w:w="281" w:type="dxa"/>
            <w:tcBorders/>
            <w:shd w:fill="CCEEFF" w:val="clear"/>
            <w:vAlign w:val="bottom"/>
          </w:tcPr>
          <w:p>
            <w:pPr>
              <w:pStyle w:val="TableContents"/>
              <w:bidi w:val="0"/>
              <w:spacing w:before="0" w:after="283"/>
              <w:jc w:val="left"/>
              <w:rPr/>
            </w:pPr>
            <w:r>
              <w:rPr/>
              <w:t>% </w:t>
            </w:r>
          </w:p>
        </w:tc>
      </w:tr>
      <w:tr>
        <w:trPr/>
        <w:tc>
          <w:tcPr>
            <w:tcW w:w="7190" w:type="dxa"/>
            <w:tcBorders/>
          </w:tcPr>
          <w:p>
            <w:pPr>
              <w:pStyle w:val="TableContents"/>
              <w:bidi w:val="0"/>
              <w:spacing w:before="0" w:after="0"/>
              <w:jc w:val="left"/>
              <w:rPr>
                <w:rFonts w:ascii="Times New Roman" w:hAnsi="Times New Roman"/>
                <w:sz w:val="20"/>
              </w:rPr>
            </w:pPr>
            <w:r>
              <w:rPr>
                <w:rFonts w:ascii="Times New Roman" w:hAnsi="Times New Roman"/>
                <w:sz w:val="20"/>
              </w:rPr>
              <w:t>John Patience and entities affiliated with John Patience(3)</w:t>
            </w:r>
          </w:p>
        </w:tc>
        <w:tc>
          <w:tcPr>
            <w:tcW w:w="2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7,412,498</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7.6</w:t>
            </w:r>
          </w:p>
        </w:tc>
        <w:tc>
          <w:tcPr>
            <w:tcW w:w="281" w:type="dxa"/>
            <w:tcBorders/>
            <w:vAlign w:val="bottom"/>
          </w:tcPr>
          <w:p>
            <w:pPr>
              <w:pStyle w:val="TableContents"/>
              <w:bidi w:val="0"/>
              <w:spacing w:before="0" w:after="283"/>
              <w:jc w:val="left"/>
              <w:rPr/>
            </w:pPr>
            <w:r>
              <w:rPr/>
              <w:t>% </w:t>
            </w:r>
          </w:p>
        </w:tc>
      </w:tr>
      <w:tr>
        <w:trPr/>
        <w:tc>
          <w:tcPr>
            <w:tcW w:w="7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Matthew Strobeck and entities affiliated with Matthew Strobeck (4)</w:t>
            </w:r>
          </w:p>
        </w:tc>
        <w:tc>
          <w:tcPr>
            <w:tcW w:w="2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5,672,000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5.8</w:t>
            </w:r>
          </w:p>
        </w:tc>
        <w:tc>
          <w:tcPr>
            <w:tcW w:w="281" w:type="dxa"/>
            <w:tcBorders/>
            <w:shd w:fill="CCEEFF" w:val="clear"/>
            <w:vAlign w:val="bottom"/>
          </w:tcPr>
          <w:p>
            <w:pPr>
              <w:pStyle w:val="TableContents"/>
              <w:bidi w:val="0"/>
              <w:spacing w:before="0" w:after="283"/>
              <w:jc w:val="left"/>
              <w:rPr/>
            </w:pPr>
            <w:r>
              <w:rPr/>
              <w:t>% </w:t>
            </w:r>
          </w:p>
        </w:tc>
      </w:tr>
      <w:tr>
        <w:trPr>
          <w:trHeight w:val="120" w:hRule="atLeast"/>
        </w:trPr>
        <w:tc>
          <w:tcPr>
            <w:tcW w:w="7190" w:type="dxa"/>
            <w:tcBorders/>
            <w:vAlign w:val="center"/>
          </w:tcPr>
          <w:p>
            <w:pPr>
              <w:pStyle w:val="TableContents"/>
              <w:bidi w:val="0"/>
              <w:spacing w:before="0" w:after="283"/>
              <w:jc w:val="left"/>
              <w:rPr>
                <w:sz w:val="4"/>
                <w:szCs w:val="4"/>
              </w:rPr>
            </w:pPr>
            <w:r>
              <w:rPr>
                <w:sz w:val="4"/>
                <w:szCs w:val="4"/>
              </w:rPr>
            </w:r>
          </w:p>
        </w:tc>
        <w:tc>
          <w:tcPr>
            <w:tcW w:w="1626" w:type="dxa"/>
            <w:gridSpan w:val="4"/>
            <w:tcBorders/>
            <w:vAlign w:val="center"/>
          </w:tcPr>
          <w:p>
            <w:pPr>
              <w:pStyle w:val="TableContents"/>
              <w:bidi w:val="0"/>
              <w:spacing w:before="0" w:after="283"/>
              <w:jc w:val="left"/>
              <w:rPr>
                <w:sz w:val="4"/>
                <w:szCs w:val="4"/>
              </w:rPr>
            </w:pPr>
            <w:r>
              <w:rPr>
                <w:sz w:val="4"/>
                <w:szCs w:val="4"/>
              </w:rPr>
            </w:r>
          </w:p>
        </w:tc>
        <w:tc>
          <w:tcPr>
            <w:tcW w:w="1389" w:type="dxa"/>
            <w:gridSpan w:val="4"/>
            <w:tcBorders/>
            <w:vAlign w:val="center"/>
          </w:tcPr>
          <w:p>
            <w:pPr>
              <w:pStyle w:val="TableContents"/>
              <w:bidi w:val="0"/>
              <w:spacing w:before="0" w:after="283"/>
              <w:jc w:val="left"/>
              <w:rPr>
                <w:sz w:val="4"/>
                <w:szCs w:val="4"/>
              </w:rPr>
            </w:pPr>
            <w:r>
              <w:rPr>
                <w:sz w:val="4"/>
                <w:szCs w:val="4"/>
              </w:rPr>
            </w:r>
          </w:p>
        </w:tc>
      </w:tr>
      <w:tr>
        <w:trPr/>
        <w:tc>
          <w:tcPr>
            <w:tcW w:w="7190" w:type="dxa"/>
            <w:tcBorders/>
          </w:tcPr>
          <w:p>
            <w:pPr>
              <w:pStyle w:val="TableContents"/>
              <w:bidi w:val="0"/>
              <w:spacing w:before="0" w:after="0"/>
              <w:jc w:val="left"/>
              <w:rPr>
                <w:rFonts w:ascii="Times New Roman" w:hAnsi="Times New Roman"/>
                <w:b/>
                <w:sz w:val="20"/>
              </w:rPr>
            </w:pPr>
            <w:r>
              <w:rPr>
                <w:rFonts w:ascii="Times New Roman" w:hAnsi="Times New Roman"/>
                <w:b/>
                <w:sz w:val="20"/>
              </w:rPr>
              <w:t>Directors and Executive Officers:</w:t>
            </w:r>
          </w:p>
        </w:tc>
        <w:tc>
          <w:tcPr>
            <w:tcW w:w="2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73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Jack Schuler(5)</w:t>
            </w:r>
          </w:p>
        </w:tc>
        <w:tc>
          <w:tcPr>
            <w:tcW w:w="2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31,038,797</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31.8</w:t>
            </w:r>
          </w:p>
        </w:tc>
        <w:tc>
          <w:tcPr>
            <w:tcW w:w="281" w:type="dxa"/>
            <w:tcBorders/>
            <w:shd w:fill="CCEEFF" w:val="clear"/>
            <w:vAlign w:val="bottom"/>
          </w:tcPr>
          <w:p>
            <w:pPr>
              <w:pStyle w:val="TableContents"/>
              <w:bidi w:val="0"/>
              <w:spacing w:before="0" w:after="283"/>
              <w:jc w:val="left"/>
              <w:rPr/>
            </w:pPr>
            <w:r>
              <w:rPr/>
              <w:t>% </w:t>
            </w:r>
          </w:p>
        </w:tc>
      </w:tr>
      <w:tr>
        <w:trPr/>
        <w:tc>
          <w:tcPr>
            <w:tcW w:w="7190" w:type="dxa"/>
            <w:tcBorders/>
          </w:tcPr>
          <w:p>
            <w:pPr>
              <w:pStyle w:val="TableContents"/>
              <w:bidi w:val="0"/>
              <w:spacing w:before="0" w:after="0"/>
              <w:jc w:val="left"/>
              <w:rPr>
                <w:rFonts w:ascii="Times New Roman" w:hAnsi="Times New Roman"/>
                <w:sz w:val="20"/>
              </w:rPr>
            </w:pPr>
            <w:r>
              <w:rPr>
                <w:rFonts w:ascii="Times New Roman" w:hAnsi="Times New Roman"/>
                <w:sz w:val="20"/>
              </w:rPr>
              <w:t>Lawrence T. Kennedy, Jr.(6)</w:t>
            </w:r>
          </w:p>
        </w:tc>
        <w:tc>
          <w:tcPr>
            <w:tcW w:w="2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21,253,376</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21.8</w:t>
            </w:r>
          </w:p>
        </w:tc>
        <w:tc>
          <w:tcPr>
            <w:tcW w:w="281" w:type="dxa"/>
            <w:tcBorders/>
            <w:vAlign w:val="bottom"/>
          </w:tcPr>
          <w:p>
            <w:pPr>
              <w:pStyle w:val="TableContents"/>
              <w:bidi w:val="0"/>
              <w:spacing w:before="0" w:after="283"/>
              <w:jc w:val="left"/>
              <w:rPr/>
            </w:pPr>
            <w:r>
              <w:rPr/>
              <w:t>% </w:t>
            </w:r>
          </w:p>
        </w:tc>
      </w:tr>
      <w:tr>
        <w:trPr/>
        <w:tc>
          <w:tcPr>
            <w:tcW w:w="7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 Patience(7)</w:t>
            </w:r>
          </w:p>
        </w:tc>
        <w:tc>
          <w:tcPr>
            <w:tcW w:w="2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7,412,498</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7.6</w:t>
            </w:r>
          </w:p>
        </w:tc>
        <w:tc>
          <w:tcPr>
            <w:tcW w:w="281" w:type="dxa"/>
            <w:tcBorders/>
            <w:shd w:fill="CCEEFF" w:val="clear"/>
            <w:vAlign w:val="bottom"/>
          </w:tcPr>
          <w:p>
            <w:pPr>
              <w:pStyle w:val="TableContents"/>
              <w:bidi w:val="0"/>
              <w:spacing w:before="0" w:after="283"/>
              <w:jc w:val="left"/>
              <w:rPr/>
            </w:pPr>
            <w:r>
              <w:rPr/>
              <w:t>% </w:t>
            </w:r>
          </w:p>
        </w:tc>
      </w:tr>
      <w:tr>
        <w:trPr/>
        <w:tc>
          <w:tcPr>
            <w:tcW w:w="7190" w:type="dxa"/>
            <w:tcBorders/>
          </w:tcPr>
          <w:p>
            <w:pPr>
              <w:pStyle w:val="TableContents"/>
              <w:bidi w:val="0"/>
              <w:spacing w:before="0" w:after="0"/>
              <w:jc w:val="left"/>
              <w:rPr>
                <w:rFonts w:ascii="Times New Roman" w:hAnsi="Times New Roman"/>
                <w:sz w:val="20"/>
              </w:rPr>
            </w:pPr>
            <w:r>
              <w:rPr>
                <w:rFonts w:ascii="Times New Roman" w:hAnsi="Times New Roman"/>
                <w:sz w:val="20"/>
              </w:rPr>
              <w:t>Matthew Strobeck, Ph.D.(8)</w:t>
            </w:r>
          </w:p>
        </w:tc>
        <w:tc>
          <w:tcPr>
            <w:tcW w:w="2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5,672,000</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5.8</w:t>
            </w:r>
          </w:p>
        </w:tc>
        <w:tc>
          <w:tcPr>
            <w:tcW w:w="281" w:type="dxa"/>
            <w:tcBorders/>
            <w:vAlign w:val="bottom"/>
          </w:tcPr>
          <w:p>
            <w:pPr>
              <w:pStyle w:val="TableContents"/>
              <w:bidi w:val="0"/>
              <w:spacing w:before="0" w:after="283"/>
              <w:jc w:val="left"/>
              <w:rPr/>
            </w:pPr>
            <w:r>
              <w:rPr/>
              <w:t>% </w:t>
            </w:r>
          </w:p>
        </w:tc>
      </w:tr>
      <w:tr>
        <w:trPr/>
        <w:tc>
          <w:tcPr>
            <w:tcW w:w="7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Scott Hutton(9)</w:t>
            </w:r>
          </w:p>
        </w:tc>
        <w:tc>
          <w:tcPr>
            <w:tcW w:w="2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1,476,198</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1.5</w:t>
            </w:r>
          </w:p>
        </w:tc>
        <w:tc>
          <w:tcPr>
            <w:tcW w:w="281" w:type="dxa"/>
            <w:tcBorders/>
            <w:shd w:fill="CCEEFF" w:val="clear"/>
            <w:vAlign w:val="bottom"/>
          </w:tcPr>
          <w:p>
            <w:pPr>
              <w:pStyle w:val="TableContents"/>
              <w:bidi w:val="0"/>
              <w:spacing w:before="0" w:after="283"/>
              <w:jc w:val="left"/>
              <w:rPr/>
            </w:pPr>
            <w:r>
              <w:rPr/>
              <w:t>% </w:t>
            </w:r>
          </w:p>
        </w:tc>
      </w:tr>
      <w:tr>
        <w:trPr/>
        <w:tc>
          <w:tcPr>
            <w:tcW w:w="7190" w:type="dxa"/>
            <w:tcBorders/>
          </w:tcPr>
          <w:p>
            <w:pPr>
              <w:pStyle w:val="TableContents"/>
              <w:bidi w:val="0"/>
              <w:spacing w:before="0" w:after="0"/>
              <w:jc w:val="left"/>
              <w:rPr>
                <w:rFonts w:ascii="Times New Roman" w:hAnsi="Times New Roman"/>
                <w:sz w:val="20"/>
              </w:rPr>
            </w:pPr>
            <w:r>
              <w:rPr>
                <w:rFonts w:ascii="Times New Roman" w:hAnsi="Times New Roman"/>
                <w:sz w:val="20"/>
              </w:rPr>
              <w:t>Jon Faiz Kayyem, Ph.D.(10)</w:t>
            </w:r>
          </w:p>
        </w:tc>
        <w:tc>
          <w:tcPr>
            <w:tcW w:w="2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547,220</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7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Hany Massarany(11)</w:t>
            </w:r>
          </w:p>
        </w:tc>
        <w:tc>
          <w:tcPr>
            <w:tcW w:w="2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544,985</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7190" w:type="dxa"/>
            <w:tcBorders/>
          </w:tcPr>
          <w:p>
            <w:pPr>
              <w:pStyle w:val="TableContents"/>
              <w:bidi w:val="0"/>
              <w:spacing w:before="0" w:after="0"/>
              <w:jc w:val="left"/>
              <w:rPr>
                <w:rFonts w:ascii="Times New Roman" w:hAnsi="Times New Roman"/>
                <w:sz w:val="20"/>
              </w:rPr>
            </w:pPr>
            <w:r>
              <w:rPr>
                <w:rFonts w:ascii="Times New Roman" w:hAnsi="Times New Roman"/>
                <w:sz w:val="20"/>
              </w:rPr>
              <w:t>Robin Harper Cowie(12)</w:t>
            </w:r>
          </w:p>
        </w:tc>
        <w:tc>
          <w:tcPr>
            <w:tcW w:w="2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535,386</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7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Charles Watts, M.D.(13)</w:t>
            </w:r>
          </w:p>
        </w:tc>
        <w:tc>
          <w:tcPr>
            <w:tcW w:w="2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469,612</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7190" w:type="dxa"/>
            <w:tcBorders/>
          </w:tcPr>
          <w:p>
            <w:pPr>
              <w:pStyle w:val="TableContents"/>
              <w:bidi w:val="0"/>
              <w:spacing w:before="0" w:after="0"/>
              <w:jc w:val="left"/>
              <w:rPr>
                <w:rFonts w:ascii="Times New Roman" w:hAnsi="Times New Roman"/>
                <w:sz w:val="20"/>
              </w:rPr>
            </w:pPr>
            <w:r>
              <w:rPr>
                <w:rFonts w:ascii="Times New Roman" w:hAnsi="Times New Roman"/>
                <w:sz w:val="20"/>
              </w:rPr>
              <w:t>Jean Franchi(14)</w:t>
            </w:r>
          </w:p>
        </w:tc>
        <w:tc>
          <w:tcPr>
            <w:tcW w:w="2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431,192</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7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Kieran OKane(15)</w:t>
            </w:r>
          </w:p>
        </w:tc>
        <w:tc>
          <w:tcPr>
            <w:tcW w:w="2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233,126</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7190" w:type="dxa"/>
            <w:tcBorders/>
          </w:tcPr>
          <w:p>
            <w:pPr>
              <w:pStyle w:val="TableContents"/>
              <w:bidi w:val="0"/>
              <w:spacing w:before="0" w:after="0"/>
              <w:jc w:val="left"/>
              <w:rPr>
                <w:rFonts w:ascii="Times New Roman" w:hAnsi="Times New Roman"/>
                <w:sz w:val="20"/>
              </w:rPr>
            </w:pPr>
            <w:r>
              <w:rPr>
                <w:rFonts w:ascii="Times New Roman" w:hAnsi="Times New Roman"/>
                <w:sz w:val="20"/>
              </w:rPr>
              <w:t>All directors and named executive officers as a group (13 persons)</w:t>
            </w:r>
          </w:p>
        </w:tc>
        <w:tc>
          <w:tcPr>
            <w:tcW w:w="2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69,946,274</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69.2</w:t>
            </w:r>
          </w:p>
        </w:tc>
        <w:tc>
          <w:tcPr>
            <w:tcW w:w="28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36</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46,102 shares of common stock issuable upon the exercise of options held by Jack Schuler that are vested and exercisable within 60 days of March 1, 2024, (b) RSUs held by Mr. Schuler representing the right to receive 284,973 shares of common stock that will vest within 60 days of March 1, 2024 and be deferred under the Director Deferred Compensation Plan until separation from service to the Company, and (c) 30,707,722 shares of common stock held by Jack W. Schuler Living Trust.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9,582,783 shares of common stock held by Lawrence T. Kennedy, Jr. Revocable Trust UAD 6/19/01 and as amended from time to time, (b) 10,528,753 shares of common stock held by Lawrence T. Kennedy, Jr. Perpetuity Trust UAD 6/30/16, (c) 166,666 shares of common stock held by KFDI-B LLC, (d) 722,041 shares of common stock held by Lair BDSX GRAT 2022-03-02, and (e) RSUs held by Mr. Kennedy representing the right to receive 253,133 shares of common stock that will vest within 60 days of March 1, 2024 and be deferred under the Director Deferred Compensation Plan.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337,926 shares of common stock held directly by John Patience, (b) 46,102 shares of common stock issuable upon the exercise of options held by Mr. Patience that are vested and exercisable within 60 days of March 1, 2024, (c) RSUs held by Mr. Patience representing the right to receive 284,973 shares of common stock that will vest within 60 days of March 1, 2024 and be deferred under the Director Deferred Compensation Plan until separation from service to the Company, (d) 2,078,298 shares of common stock held by Patience Enterprises LP, (e) 4,612,211 shares of common stock held by John Patience Living Trust, dated July 23, 1993, and (f) 52,988 shares of common stock held by Diane Patience.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11,717 shares of common stock issuable upon the exercise of options held by Dr. Matthew Strobeck that are vested and exercisable within 60 days of March 1, 2024, (b) RSUs held by Dr. Strobeck representing the right to receive 291,966 shares of common stock that will vest within 60 days of March 1, 2024 and be deferred under the Director Deferred Compensation Plan until separation from service to the Company, (c) 2,542,928 shares of common stock held by Dr. Strobeck, (d) 2,275,199 shares of common stock held by Birchview Fund LLC, (e) 33,513 shares of common stock held by Birchview Capital Separately Managed Account, (f) 40,665 shares of common stock held by Clajer Capital LLC and (g) 119,003 shares of common stock held in each of four UTMA accounts (for an aggregate amount of 476,012 shares).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31,038,797 shares beneficially owned by Jack Schuler and entities affiliated with Mr. Schuler, as set forth in footnote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21,253,376 shares beneficially owned by Lawrence T. Kennedy, Jr. and entities affiliated with Mr. Kennedy, as set forth in footnote (2).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7,412,498 shares beneficially owned by John Patience and entities affiliated with Mr. Patience, as set forth in footnote (3).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5,672,000 shares beneficially owned by Dr. Matthew Strobeck and entities affiliated with Dr. Strobeck, as set forth in footnote (4).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1,000,866 shares of common stock issuable upon the exercise of options held by Scott Hutton that are vested and exercisable within 60 days of March 1, 2024, and (b) 475,332 shares of common stock held by Mr. Hutton.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50,543 shares of common stock issuable upon the exercise of options held by Dr. Jon Faiz Kayyem that are vested and exercisable within 60 days of March 1, 2024, (b) RSUs held by Dr. Kayyem representing the right to receive 139,140 shares of common stock that will vest within 60 days of March 1, 2024 and be deferred under the Director Deferred Compensation Plan until separation from service to the Company, (c) 180,085 shares of common stock held by The Jon Faiz Kayyem Revocable Trust, for which Dr. Kayyem and his spouse serve as co-trustees, and (d) 177,452 shares of common stock held by Dr. Kayyem. Dr. Kayyem disclaims beneficial ownership of the shares held by The Jon Faiz Kayyem Revocable Trust.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60,946 shares of common stock issuable upon the exercise of options held by Hany Massarany that are vested and exercisable within 60 days of March 1, 2024, (b) RSUs held by Mr. Massarany representing the right to receive 149,631 shares of common stock that will vest within 60 days of March 1, 2024 and be deferred under the Director Deferred Compensation Plan until separation from service to the Company, (c) RSUs held by Mr. Massarany representing the right to receive 19,777 shares of common stock which are vested and will generally settle in shares of common stock on the earlier of July 1, 2025 and separation from service to the Company, and (d) 283,767 shares of common stock held by Mr. Massarany.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37</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365,883 shares of common stock issuable upon the exercise of options held by Robin Harper Cowie that are vested and exercisable within 60 days of March 1, 2024, and (b) 169,503 shares of common stock held by Ms. Harper Cowie.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95,913 shares of common stock issuable upon the exercise of options held by Dr. Charles Watts that are vested and exercisable within 60 days of March 1, 2024, (b) RSUs held by Dr. Watts representing the right to receive 134,262 shares of common stock that will vest within 60 days of March 1, 2024, (c) RSUs held by Dr. Watts representing the right to receive 25,051 shares of common stock which are vested and will generally settle in shares of common stock on the earlier of July 16, 2024 and separation from service to the Company, and (d) 214,389 shares of common stock held by Dr. Watts.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29,363 shares of common stock issuable upon the exercise of options held by Jean Franchi that are vested and exercisable within 60 days of March 1, 2024, (b) RSUs held by Ms. Franchi representing the right to receive 298,961 shares of common stock that will vest within 60 days of March 1, 2024 and be deferred under the Director Deferred Compensation Plan until separation from service to the Company, (c) RSUs held by Ms. Franchi representing the right to receive 21,096 shares of common stock which are vested and will generally settle in shares of common stock on the earlier of April 1, 2025 and separation from service to the Company, and (d) 81,772 shares of common stock held by Ms. Franchi.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158,623 shares of common stock issuable upon the exercise of options held by Kieran OKane that are vested and exercisable within 60 days of March 1, 2024, and (b) 74,503 shares of common stock held by Mr. OKane. </w:t>
            </w:r>
          </w:p>
        </w:tc>
      </w:tr>
    </w:tbl>
    <w:p>
      <w:pPr>
        <w:pStyle w:val="TextBody"/>
        <w:bidi w:val="0"/>
        <w:spacing w:before="240" w:after="0"/>
        <w:jc w:val="left"/>
        <w:rPr>
          <w:rFonts w:ascii="Times New Roman" w:hAnsi="Times New Roman"/>
          <w:color w:val="305494"/>
          <w:sz w:val="28"/>
        </w:rPr>
      </w:pPr>
      <w:bookmarkStart w:id="39" w:name="toc674951_37"/>
      <w:bookmarkEnd w:id="39"/>
      <w:r>
        <w:rPr>
          <w:rFonts w:ascii="Times New Roman" w:hAnsi="Times New Roman"/>
          <w:color w:val="305494"/>
          <w:sz w:val="28"/>
        </w:rPr>
        <w:t xml:space="preserve">Delinquent Section 16(a) Reports </w:t>
      </w:r>
    </w:p>
    <w:p>
      <w:pPr>
        <w:pStyle w:val="TextBody"/>
        <w:bidi w:val="0"/>
        <w:spacing w:before="240" w:after="0"/>
        <w:jc w:val="left"/>
        <w:rPr>
          <w:rFonts w:ascii="Times New Roman" w:hAnsi="Times New Roman"/>
          <w:sz w:val="20"/>
        </w:rPr>
      </w:pPr>
      <w:r>
        <w:rPr>
          <w:rFonts w:ascii="Times New Roman" w:hAnsi="Times New Roman"/>
          <w:sz w:val="20"/>
        </w:rPr>
        <w:t xml:space="preserve">Based solely on a review of the Section 16(a) reports filed electronically with the SEC, and written representations from our directors and executive officers that no other reports were required, all reports filed by or on behalf of our directors and executive officers and any persons holding more than ten percent of our common stock were filed on a timely basis under Section 16(a), other than an inadvertent late reporting of: one transaction on one Form 4 by Jack Schuler, one of our directors; two transactions on one Form 4 by Scott Hutton, our Chief Executive Officer and one of our directors; two transactions on one Form 4 by Robin Harper Cowie, our Chief Financial Officer; two transactions on one Form 4 by Gary Pestano, our Chief Development Officer; and two transactions on one Form 4 by Kieran OKane, our Chief Commercial Officer.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38</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color w:val="305494"/>
          <w:sz w:val="32"/>
        </w:rPr>
      </w:pPr>
      <w:bookmarkStart w:id="40" w:name="toc674951_38"/>
      <w:bookmarkEnd w:id="40"/>
      <w:r>
        <w:rPr>
          <w:rFonts w:ascii="Times New Roman" w:hAnsi="Times New Roman"/>
          <w:b/>
          <w:color w:val="305494"/>
          <w:sz w:val="32"/>
        </w:rPr>
        <w:t xml:space="preserve">AUDIT MATTERS </w:t>
      </w:r>
    </w:p>
    <w:p>
      <w:pPr>
        <w:pStyle w:val="TextBody"/>
        <w:bidi w:val="0"/>
        <w:spacing w:before="240" w:after="0"/>
        <w:jc w:val="left"/>
        <w:rPr>
          <w:rFonts w:ascii="Times New Roman" w:hAnsi="Times New Roman"/>
          <w:color w:val="305494"/>
          <w:sz w:val="28"/>
        </w:rPr>
      </w:pPr>
      <w:bookmarkStart w:id="41" w:name="toc674951_39"/>
      <w:bookmarkEnd w:id="41"/>
      <w:r>
        <w:rPr>
          <w:rFonts w:ascii="Times New Roman" w:hAnsi="Times New Roman"/>
          <w:color w:val="305494"/>
          <w:sz w:val="28"/>
        </w:rPr>
        <w:t xml:space="preserve">Proposal Two: Ratification of Appointment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has appointed KPMG LLP as our independent registered public accounting firm for the year ending December 31, 2024. Although stockholder ratification of the appointment of KPMG LLP is not required by our bylaws, other governing documents or the law, our board of directors considers the appointment of our independent registered public accounting firm to be an important matter of stockholder concern and is submitting the appointment of KPMG LLP for ratification by our stockholders as a matter of good corporate practice. If our stockholders fail to ratify the appointment, our audit committee will review its future selection of KPMG LLP as its independent registered public accounting firm. Even if the appointment is ratified, our audit committee, in its discretion, may direct the appointment of a different independent registered public accounting firm at any time during the year if they determine that such a change would be in the best interests of the Company and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considers the appointment of KPMG LLP as our independent registered public accounting firm for 2024 to be in the best interests of the Company and our stockholders. We expect representatives of KPMG LLP to attend the Annual Meeting. They will have an opportunity to make a statement if they wish and will be available to respond to appropriate questions from stockholders. </w:t>
      </w:r>
    </w:p>
    <w:p>
      <w:pPr>
        <w:pStyle w:val="TextBody"/>
        <w:bidi w:val="0"/>
        <w:spacing w:before="240" w:after="0"/>
        <w:jc w:val="left"/>
        <w:rPr>
          <w:rFonts w:ascii="Times New Roman" w:hAnsi="Times New Roman"/>
          <w:sz w:val="20"/>
        </w:rPr>
      </w:pPr>
      <w:r>
        <w:rPr>
          <w:rFonts w:ascii="Times New Roman" w:hAnsi="Times New Roman"/>
          <w:sz w:val="20"/>
        </w:rPr>
        <w:t xml:space="preserve">KPMG LLP has served as our independent registered public accounting firm since 2016. </w:t>
      </w:r>
    </w:p>
    <w:p>
      <w:pPr>
        <w:pStyle w:val="TextBody"/>
        <w:bidi w:val="0"/>
        <w:spacing w:before="360" w:after="0"/>
        <w:jc w:val="left"/>
        <w:rPr>
          <w:rFonts w:ascii="Times New Roman" w:hAnsi="Times New Roman"/>
          <w:b/>
          <w:color w:val="305494"/>
          <w:sz w:val="20"/>
        </w:rPr>
      </w:pPr>
      <w:r>
        <w:rPr>
          <w:rFonts w:ascii="Times New Roman" w:hAnsi="Times New Roman"/>
          <w:b/>
          <w:color w:val="305494"/>
          <w:sz w:val="20"/>
        </w:rPr>
        <w:t xml:space="preserve">Principal Accountant Fees and Services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fees and services provided by KPMG LLP to us for the years ended December 31, 2023 and 2022. </w:t>
      </w:r>
    </w:p>
    <w:p>
      <w:pPr>
        <w:pStyle w:val="TextBody"/>
        <w:bidi w:val="0"/>
        <w:spacing w:before="0" w:after="0"/>
        <w:jc w:val="left"/>
        <w:rPr/>
      </w:pPr>
      <w:r>
        <w:rPr/>
        <w:t> </w:t>
      </w:r>
    </w:p>
    <w:tbl>
      <w:tblPr>
        <w:tblW w:w="3900" w:type="pct"/>
        <w:jc w:val="center"/>
        <w:tblInd w:w="0" w:type="dxa"/>
        <w:tblLayout w:type="fixed"/>
        <w:tblCellMar>
          <w:top w:w="0" w:type="dxa"/>
          <w:left w:w="0" w:type="dxa"/>
          <w:bottom w:w="0" w:type="dxa"/>
          <w:right w:w="0" w:type="dxa"/>
        </w:tblCellMar>
      </w:tblPr>
      <w:tblGrid>
        <w:gridCol w:w="2843"/>
        <w:gridCol w:w="135"/>
        <w:gridCol w:w="30"/>
        <w:gridCol w:w="30"/>
        <w:gridCol w:w="60"/>
        <w:gridCol w:w="77"/>
        <w:gridCol w:w="260"/>
        <w:gridCol w:w="1763"/>
        <w:gridCol w:w="60"/>
        <w:gridCol w:w="135"/>
        <w:gridCol w:w="29"/>
        <w:gridCol w:w="30"/>
        <w:gridCol w:w="60"/>
        <w:gridCol w:w="60"/>
        <w:gridCol w:w="260"/>
        <w:gridCol w:w="1763"/>
        <w:gridCol w:w="364"/>
      </w:tblGrid>
      <w:tr>
        <w:trPr/>
        <w:tc>
          <w:tcPr>
            <w:tcW w:w="2843"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r>
      <w:tr>
        <w:trPr/>
        <w:tc>
          <w:tcPr>
            <w:tcW w:w="284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4420" w:type="dxa"/>
            <w:gridSpan w:val="10"/>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3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843" w:type="dxa"/>
            <w:tcBorders>
              <w:bottom w:val="single" w:sz="2" w:space="0" w:color="000000"/>
            </w:tcBorders>
            <w:tcMar>
              <w:bottom w:w="28" w:type="dxa"/>
            </w:tcMar>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202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2023</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5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02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2022</w:t>
            </w:r>
          </w:p>
        </w:tc>
        <w:tc>
          <w:tcPr>
            <w:tcW w:w="3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843" w:type="dxa"/>
            <w:tcBorders/>
            <w:shd w:fill="F2F2F2" w:val="clear"/>
          </w:tcPr>
          <w:p>
            <w:pPr>
              <w:pStyle w:val="TableContents"/>
              <w:bidi w:val="0"/>
              <w:spacing w:before="0" w:after="0"/>
              <w:jc w:val="left"/>
              <w:rPr>
                <w:rFonts w:ascii="Times New Roman" w:hAnsi="Times New Roman"/>
                <w:b/>
                <w:sz w:val="20"/>
              </w:rPr>
            </w:pPr>
            <w:r>
              <w:rPr>
                <w:rFonts w:ascii="Times New Roman" w:hAnsi="Times New Roman"/>
                <w:b/>
                <w:sz w:val="20"/>
              </w:rPr>
              <w:t>Audit Fees(1)</w:t>
            </w:r>
          </w:p>
        </w:tc>
        <w:tc>
          <w:tcPr>
            <w:tcW w:w="135" w:type="dxa"/>
            <w:tcBorders/>
            <w:shd w:fill="F2F2F2" w:val="clear"/>
            <w:vAlign w:val="bottom"/>
          </w:tcPr>
          <w:p>
            <w:pPr>
              <w:pStyle w:val="TableContents"/>
              <w:bidi w:val="0"/>
              <w:spacing w:before="0" w:after="283"/>
              <w:jc w:val="left"/>
              <w:rPr/>
            </w:pPr>
            <w:r>
              <w:rPr/>
              <w:t>  </w:t>
            </w:r>
          </w:p>
        </w:tc>
        <w:tc>
          <w:tcPr>
            <w:tcW w:w="30" w:type="dxa"/>
            <w:tcBorders/>
            <w:shd w:fill="F2F2F2" w:val="clear"/>
            <w:vAlign w:val="bottom"/>
          </w:tcPr>
          <w:p>
            <w:pPr>
              <w:pStyle w:val="TableContents"/>
              <w:bidi w:val="0"/>
              <w:spacing w:before="0" w:after="283"/>
              <w:jc w:val="left"/>
              <w:rPr>
                <w:sz w:val="4"/>
                <w:szCs w:val="4"/>
              </w:rPr>
            </w:pPr>
            <w:r>
              <w:rPr>
                <w:sz w:val="4"/>
                <w:szCs w:val="4"/>
              </w:rPr>
            </w:r>
          </w:p>
        </w:tc>
        <w:tc>
          <w:tcPr>
            <w:tcW w:w="30" w:type="dxa"/>
            <w:tcBorders/>
            <w:shd w:fill="F2F2F2" w:val="clear"/>
            <w:vAlign w:val="bottom"/>
          </w:tcPr>
          <w:p>
            <w:pPr>
              <w:pStyle w:val="TableContents"/>
              <w:bidi w:val="0"/>
              <w:spacing w:before="0" w:after="283"/>
              <w:jc w:val="left"/>
              <w:rPr>
                <w:sz w:val="4"/>
                <w:szCs w:val="4"/>
              </w:rPr>
            </w:pPr>
            <w:r>
              <w:rPr>
                <w:sz w:val="4"/>
                <w:szCs w:val="4"/>
              </w:rPr>
            </w:r>
          </w:p>
        </w:tc>
        <w:tc>
          <w:tcPr>
            <w:tcW w:w="60" w:type="dxa"/>
            <w:tcBorders/>
            <w:shd w:fill="F2F2F2" w:val="clear"/>
            <w:vAlign w:val="bottom"/>
          </w:tcPr>
          <w:p>
            <w:pPr>
              <w:pStyle w:val="TableContents"/>
              <w:bidi w:val="0"/>
              <w:spacing w:before="0" w:after="283"/>
              <w:jc w:val="left"/>
              <w:rPr>
                <w:sz w:val="4"/>
                <w:szCs w:val="4"/>
              </w:rPr>
            </w:pPr>
            <w:r>
              <w:rPr>
                <w:sz w:val="4"/>
                <w:szCs w:val="4"/>
              </w:rPr>
            </w:r>
          </w:p>
        </w:tc>
        <w:tc>
          <w:tcPr>
            <w:tcW w:w="77" w:type="dxa"/>
            <w:tcBorders/>
            <w:shd w:fill="F2F2F2" w:val="clear"/>
            <w:vAlign w:val="bottom"/>
          </w:tcPr>
          <w:p>
            <w:pPr>
              <w:pStyle w:val="TableContents"/>
              <w:bidi w:val="0"/>
              <w:spacing w:before="0" w:after="283"/>
              <w:jc w:val="left"/>
              <w:rPr/>
            </w:pPr>
            <w:r>
              <w:rPr/>
              <w:t> </w:t>
            </w:r>
          </w:p>
        </w:tc>
        <w:tc>
          <w:tcPr>
            <w:tcW w:w="260" w:type="dxa"/>
            <w:tcBorders/>
            <w:shd w:fill="F2F2F2" w:val="clear"/>
            <w:vAlign w:val="bottom"/>
          </w:tcPr>
          <w:p>
            <w:pPr>
              <w:pStyle w:val="TableContents"/>
              <w:bidi w:val="0"/>
              <w:spacing w:before="0" w:after="283"/>
              <w:jc w:val="left"/>
              <w:rPr/>
            </w:pPr>
            <w:r>
              <w:rPr/>
              <w:t> </w:t>
            </w:r>
            <w:r>
              <w:rPr/>
              <w:t>$</w:t>
            </w:r>
          </w:p>
        </w:tc>
        <w:tc>
          <w:tcPr>
            <w:tcW w:w="1763" w:type="dxa"/>
            <w:tcBorders/>
            <w:shd w:fill="F2F2F2" w:val="clear"/>
            <w:vAlign w:val="bottom"/>
          </w:tcPr>
          <w:p>
            <w:pPr>
              <w:pStyle w:val="TableContents"/>
              <w:bidi w:val="0"/>
              <w:spacing w:before="0" w:after="283"/>
              <w:jc w:val="right"/>
              <w:rPr/>
            </w:pPr>
            <w:r>
              <w:rPr/>
              <w:t>451,899</w:t>
            </w:r>
          </w:p>
        </w:tc>
        <w:tc>
          <w:tcPr>
            <w:tcW w:w="60" w:type="dxa"/>
            <w:tcBorders/>
            <w:shd w:fill="F2F2F2" w:val="clear"/>
            <w:vAlign w:val="bottom"/>
          </w:tcPr>
          <w:p>
            <w:pPr>
              <w:pStyle w:val="TableContents"/>
              <w:bidi w:val="0"/>
              <w:spacing w:before="0" w:after="283"/>
              <w:jc w:val="left"/>
              <w:rPr/>
            </w:pPr>
            <w:r>
              <w:rPr/>
              <w:t> </w:t>
            </w:r>
          </w:p>
        </w:tc>
        <w:tc>
          <w:tcPr>
            <w:tcW w:w="135" w:type="dxa"/>
            <w:tcBorders/>
            <w:shd w:fill="F2F2F2" w:val="clear"/>
            <w:vAlign w:val="bottom"/>
          </w:tcPr>
          <w:p>
            <w:pPr>
              <w:pStyle w:val="TableContents"/>
              <w:bidi w:val="0"/>
              <w:spacing w:before="0" w:after="283"/>
              <w:jc w:val="left"/>
              <w:rPr/>
            </w:pPr>
            <w:r>
              <w:rPr/>
              <w:t>  </w:t>
            </w:r>
          </w:p>
        </w:tc>
        <w:tc>
          <w:tcPr>
            <w:tcW w:w="29" w:type="dxa"/>
            <w:tcBorders/>
            <w:shd w:fill="F2F2F2" w:val="clear"/>
            <w:vAlign w:val="bottom"/>
          </w:tcPr>
          <w:p>
            <w:pPr>
              <w:pStyle w:val="TableContents"/>
              <w:bidi w:val="0"/>
              <w:spacing w:before="0" w:after="283"/>
              <w:jc w:val="left"/>
              <w:rPr>
                <w:sz w:val="4"/>
                <w:szCs w:val="4"/>
              </w:rPr>
            </w:pPr>
            <w:r>
              <w:rPr>
                <w:sz w:val="4"/>
                <w:szCs w:val="4"/>
              </w:rPr>
            </w:r>
          </w:p>
        </w:tc>
        <w:tc>
          <w:tcPr>
            <w:tcW w:w="30" w:type="dxa"/>
            <w:tcBorders/>
            <w:shd w:fill="F2F2F2" w:val="clear"/>
            <w:vAlign w:val="bottom"/>
          </w:tcPr>
          <w:p>
            <w:pPr>
              <w:pStyle w:val="TableContents"/>
              <w:bidi w:val="0"/>
              <w:spacing w:before="0" w:after="283"/>
              <w:jc w:val="left"/>
              <w:rPr>
                <w:sz w:val="4"/>
                <w:szCs w:val="4"/>
              </w:rPr>
            </w:pPr>
            <w:r>
              <w:rPr>
                <w:sz w:val="4"/>
                <w:szCs w:val="4"/>
              </w:rPr>
            </w:r>
          </w:p>
        </w:tc>
        <w:tc>
          <w:tcPr>
            <w:tcW w:w="60" w:type="dxa"/>
            <w:tcBorders/>
            <w:shd w:fill="F2F2F2" w:val="clear"/>
            <w:vAlign w:val="bottom"/>
          </w:tcPr>
          <w:p>
            <w:pPr>
              <w:pStyle w:val="TableContents"/>
              <w:bidi w:val="0"/>
              <w:spacing w:before="0" w:after="283"/>
              <w:jc w:val="left"/>
              <w:rPr>
                <w:sz w:val="4"/>
                <w:szCs w:val="4"/>
              </w:rPr>
            </w:pPr>
            <w:r>
              <w:rPr>
                <w:sz w:val="4"/>
                <w:szCs w:val="4"/>
              </w:rPr>
            </w:r>
          </w:p>
        </w:tc>
        <w:tc>
          <w:tcPr>
            <w:tcW w:w="60" w:type="dxa"/>
            <w:tcBorders/>
            <w:shd w:fill="F2F2F2" w:val="clear"/>
            <w:vAlign w:val="bottom"/>
          </w:tcPr>
          <w:p>
            <w:pPr>
              <w:pStyle w:val="TableContents"/>
              <w:bidi w:val="0"/>
              <w:spacing w:before="0" w:after="283"/>
              <w:jc w:val="left"/>
              <w:rPr/>
            </w:pPr>
            <w:r>
              <w:rPr/>
              <w:t> </w:t>
            </w:r>
          </w:p>
        </w:tc>
        <w:tc>
          <w:tcPr>
            <w:tcW w:w="260" w:type="dxa"/>
            <w:tcBorders/>
            <w:shd w:fill="F2F2F2" w:val="clear"/>
            <w:vAlign w:val="bottom"/>
          </w:tcPr>
          <w:p>
            <w:pPr>
              <w:pStyle w:val="TableContents"/>
              <w:bidi w:val="0"/>
              <w:spacing w:before="0" w:after="283"/>
              <w:jc w:val="left"/>
              <w:rPr/>
            </w:pPr>
            <w:r>
              <w:rPr/>
              <w:t> </w:t>
            </w:r>
            <w:r>
              <w:rPr/>
              <w:t>$</w:t>
            </w:r>
          </w:p>
        </w:tc>
        <w:tc>
          <w:tcPr>
            <w:tcW w:w="1763" w:type="dxa"/>
            <w:tcBorders/>
            <w:shd w:fill="F2F2F2" w:val="clear"/>
            <w:vAlign w:val="bottom"/>
          </w:tcPr>
          <w:p>
            <w:pPr>
              <w:pStyle w:val="TableContents"/>
              <w:bidi w:val="0"/>
              <w:spacing w:before="0" w:after="283"/>
              <w:jc w:val="right"/>
              <w:rPr/>
            </w:pPr>
            <w:r>
              <w:rPr/>
              <w:t>423,415</w:t>
            </w:r>
          </w:p>
        </w:tc>
        <w:tc>
          <w:tcPr>
            <w:tcW w:w="364" w:type="dxa"/>
            <w:tcBorders/>
            <w:shd w:fill="F2F2F2" w:val="clear"/>
            <w:vAlign w:val="bottom"/>
          </w:tcPr>
          <w:p>
            <w:pPr>
              <w:pStyle w:val="TableContents"/>
              <w:bidi w:val="0"/>
              <w:spacing w:before="0" w:after="283"/>
              <w:jc w:val="left"/>
              <w:rPr/>
            </w:pPr>
            <w:r>
              <w:rPr/>
              <w:t>(2) </w:t>
            </w:r>
          </w:p>
        </w:tc>
      </w:tr>
      <w:tr>
        <w:trPr/>
        <w:tc>
          <w:tcPr>
            <w:tcW w:w="2843" w:type="dxa"/>
            <w:tcBorders/>
          </w:tcPr>
          <w:p>
            <w:pPr>
              <w:pStyle w:val="TableContents"/>
              <w:bidi w:val="0"/>
              <w:spacing w:before="0" w:after="0"/>
              <w:jc w:val="left"/>
              <w:rPr>
                <w:rFonts w:ascii="Times New Roman" w:hAnsi="Times New Roman"/>
                <w:b/>
                <w:sz w:val="20"/>
              </w:rPr>
            </w:pPr>
            <w:r>
              <w:rPr>
                <w:rFonts w:ascii="Times New Roman" w:hAnsi="Times New Roman"/>
                <w:b/>
                <w:sz w:val="20"/>
              </w:rPr>
              <w:t>Audit-Related Fees</w:t>
            </w:r>
          </w:p>
        </w:tc>
        <w:tc>
          <w:tcPr>
            <w:tcW w:w="135"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76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763" w:type="dxa"/>
            <w:tcBorders/>
            <w:vAlign w:val="bottom"/>
          </w:tcPr>
          <w:p>
            <w:pPr>
              <w:pStyle w:val="TableContents"/>
              <w:bidi w:val="0"/>
              <w:spacing w:before="0" w:after="283"/>
              <w:jc w:val="right"/>
              <w:rPr/>
            </w:pPr>
            <w:r>
              <w:rPr/>
              <w:t>-</w:t>
            </w:r>
          </w:p>
        </w:tc>
        <w:tc>
          <w:tcPr>
            <w:tcW w:w="364" w:type="dxa"/>
            <w:tcBorders/>
            <w:vAlign w:val="bottom"/>
          </w:tcPr>
          <w:p>
            <w:pPr>
              <w:pStyle w:val="TableContents"/>
              <w:bidi w:val="0"/>
              <w:spacing w:before="0" w:after="283"/>
              <w:jc w:val="left"/>
              <w:rPr/>
            </w:pPr>
            <w:r>
              <w:rPr/>
              <w:t> </w:t>
            </w:r>
          </w:p>
        </w:tc>
      </w:tr>
      <w:tr>
        <w:trPr/>
        <w:tc>
          <w:tcPr>
            <w:tcW w:w="2843" w:type="dxa"/>
            <w:tcBorders/>
            <w:shd w:fill="F2F2F2" w:val="clear"/>
          </w:tcPr>
          <w:p>
            <w:pPr>
              <w:pStyle w:val="TableContents"/>
              <w:bidi w:val="0"/>
              <w:spacing w:before="0" w:after="0"/>
              <w:jc w:val="left"/>
              <w:rPr>
                <w:rFonts w:ascii="Times New Roman" w:hAnsi="Times New Roman"/>
                <w:b/>
                <w:sz w:val="20"/>
              </w:rPr>
            </w:pPr>
            <w:r>
              <w:rPr>
                <w:rFonts w:ascii="Times New Roman" w:hAnsi="Times New Roman"/>
                <w:b/>
                <w:sz w:val="20"/>
              </w:rPr>
              <w:t>Tax Fees</w:t>
            </w:r>
          </w:p>
        </w:tc>
        <w:tc>
          <w:tcPr>
            <w:tcW w:w="135" w:type="dxa"/>
            <w:tcBorders/>
            <w:shd w:fill="F2F2F2" w:val="clear"/>
            <w:vAlign w:val="bottom"/>
          </w:tcPr>
          <w:p>
            <w:pPr>
              <w:pStyle w:val="TableContents"/>
              <w:bidi w:val="0"/>
              <w:spacing w:before="0" w:after="283"/>
              <w:jc w:val="left"/>
              <w:rPr/>
            </w:pPr>
            <w:r>
              <w:rPr/>
              <w:t>  </w:t>
            </w:r>
          </w:p>
        </w:tc>
        <w:tc>
          <w:tcPr>
            <w:tcW w:w="30" w:type="dxa"/>
            <w:tcBorders/>
            <w:shd w:fill="F2F2F2" w:val="clear"/>
            <w:vAlign w:val="bottom"/>
          </w:tcPr>
          <w:p>
            <w:pPr>
              <w:pStyle w:val="TableContents"/>
              <w:bidi w:val="0"/>
              <w:spacing w:before="0" w:after="283"/>
              <w:jc w:val="left"/>
              <w:rPr>
                <w:sz w:val="4"/>
                <w:szCs w:val="4"/>
              </w:rPr>
            </w:pPr>
            <w:r>
              <w:rPr>
                <w:sz w:val="4"/>
                <w:szCs w:val="4"/>
              </w:rPr>
            </w:r>
          </w:p>
        </w:tc>
        <w:tc>
          <w:tcPr>
            <w:tcW w:w="30" w:type="dxa"/>
            <w:tcBorders/>
            <w:shd w:fill="F2F2F2" w:val="clear"/>
            <w:vAlign w:val="bottom"/>
          </w:tcPr>
          <w:p>
            <w:pPr>
              <w:pStyle w:val="TableContents"/>
              <w:bidi w:val="0"/>
              <w:spacing w:before="0" w:after="283"/>
              <w:jc w:val="left"/>
              <w:rPr>
                <w:sz w:val="4"/>
                <w:szCs w:val="4"/>
              </w:rPr>
            </w:pPr>
            <w:r>
              <w:rPr>
                <w:sz w:val="4"/>
                <w:szCs w:val="4"/>
              </w:rPr>
            </w:r>
          </w:p>
        </w:tc>
        <w:tc>
          <w:tcPr>
            <w:tcW w:w="60" w:type="dxa"/>
            <w:tcBorders/>
            <w:shd w:fill="F2F2F2" w:val="clear"/>
            <w:vAlign w:val="bottom"/>
          </w:tcPr>
          <w:p>
            <w:pPr>
              <w:pStyle w:val="TableContents"/>
              <w:bidi w:val="0"/>
              <w:spacing w:before="0" w:after="283"/>
              <w:jc w:val="left"/>
              <w:rPr>
                <w:sz w:val="4"/>
                <w:szCs w:val="4"/>
              </w:rPr>
            </w:pPr>
            <w:r>
              <w:rPr>
                <w:sz w:val="4"/>
                <w:szCs w:val="4"/>
              </w:rPr>
            </w:r>
          </w:p>
        </w:tc>
        <w:tc>
          <w:tcPr>
            <w:tcW w:w="77" w:type="dxa"/>
            <w:tcBorders/>
            <w:shd w:fill="F2F2F2" w:val="clear"/>
            <w:vAlign w:val="bottom"/>
          </w:tcPr>
          <w:p>
            <w:pPr>
              <w:pStyle w:val="TableContents"/>
              <w:bidi w:val="0"/>
              <w:spacing w:before="0" w:after="283"/>
              <w:jc w:val="left"/>
              <w:rPr/>
            </w:pPr>
            <w:r>
              <w:rPr/>
              <w:t> </w:t>
            </w:r>
          </w:p>
        </w:tc>
        <w:tc>
          <w:tcPr>
            <w:tcW w:w="260" w:type="dxa"/>
            <w:tcBorders/>
            <w:shd w:fill="F2F2F2" w:val="clear"/>
            <w:vAlign w:val="bottom"/>
          </w:tcPr>
          <w:p>
            <w:pPr>
              <w:pStyle w:val="TableContents"/>
              <w:bidi w:val="0"/>
              <w:spacing w:before="0" w:after="283"/>
              <w:jc w:val="left"/>
              <w:rPr/>
            </w:pPr>
            <w:r>
              <w:rPr/>
              <w:t> </w:t>
            </w:r>
          </w:p>
        </w:tc>
        <w:tc>
          <w:tcPr>
            <w:tcW w:w="1763" w:type="dxa"/>
            <w:tcBorders/>
            <w:shd w:fill="F2F2F2" w:val="clear"/>
            <w:vAlign w:val="bottom"/>
          </w:tcPr>
          <w:p>
            <w:pPr>
              <w:pStyle w:val="TableContents"/>
              <w:bidi w:val="0"/>
              <w:spacing w:before="0" w:after="283"/>
              <w:jc w:val="right"/>
              <w:rPr/>
            </w:pPr>
            <w:r>
              <w:rPr/>
              <w:t>-</w:t>
            </w:r>
          </w:p>
        </w:tc>
        <w:tc>
          <w:tcPr>
            <w:tcW w:w="60" w:type="dxa"/>
            <w:tcBorders/>
            <w:shd w:fill="F2F2F2" w:val="clear"/>
            <w:vAlign w:val="bottom"/>
          </w:tcPr>
          <w:p>
            <w:pPr>
              <w:pStyle w:val="TableContents"/>
              <w:bidi w:val="0"/>
              <w:spacing w:before="0" w:after="283"/>
              <w:jc w:val="left"/>
              <w:rPr/>
            </w:pPr>
            <w:r>
              <w:rPr/>
              <w:t> </w:t>
            </w:r>
          </w:p>
        </w:tc>
        <w:tc>
          <w:tcPr>
            <w:tcW w:w="135" w:type="dxa"/>
            <w:tcBorders/>
            <w:shd w:fill="F2F2F2" w:val="clear"/>
            <w:vAlign w:val="bottom"/>
          </w:tcPr>
          <w:p>
            <w:pPr>
              <w:pStyle w:val="TableContents"/>
              <w:bidi w:val="0"/>
              <w:spacing w:before="0" w:after="283"/>
              <w:jc w:val="left"/>
              <w:rPr/>
            </w:pPr>
            <w:r>
              <w:rPr/>
              <w:t>  </w:t>
            </w:r>
          </w:p>
        </w:tc>
        <w:tc>
          <w:tcPr>
            <w:tcW w:w="29" w:type="dxa"/>
            <w:tcBorders/>
            <w:shd w:fill="F2F2F2" w:val="clear"/>
            <w:vAlign w:val="bottom"/>
          </w:tcPr>
          <w:p>
            <w:pPr>
              <w:pStyle w:val="TableContents"/>
              <w:bidi w:val="0"/>
              <w:spacing w:before="0" w:after="283"/>
              <w:jc w:val="left"/>
              <w:rPr>
                <w:sz w:val="4"/>
                <w:szCs w:val="4"/>
              </w:rPr>
            </w:pPr>
            <w:r>
              <w:rPr>
                <w:sz w:val="4"/>
                <w:szCs w:val="4"/>
              </w:rPr>
            </w:r>
          </w:p>
        </w:tc>
        <w:tc>
          <w:tcPr>
            <w:tcW w:w="30" w:type="dxa"/>
            <w:tcBorders/>
            <w:shd w:fill="F2F2F2" w:val="clear"/>
            <w:vAlign w:val="bottom"/>
          </w:tcPr>
          <w:p>
            <w:pPr>
              <w:pStyle w:val="TableContents"/>
              <w:bidi w:val="0"/>
              <w:spacing w:before="0" w:after="283"/>
              <w:jc w:val="left"/>
              <w:rPr>
                <w:sz w:val="4"/>
                <w:szCs w:val="4"/>
              </w:rPr>
            </w:pPr>
            <w:r>
              <w:rPr>
                <w:sz w:val="4"/>
                <w:szCs w:val="4"/>
              </w:rPr>
            </w:r>
          </w:p>
        </w:tc>
        <w:tc>
          <w:tcPr>
            <w:tcW w:w="60" w:type="dxa"/>
            <w:tcBorders/>
            <w:shd w:fill="F2F2F2" w:val="clear"/>
            <w:vAlign w:val="bottom"/>
          </w:tcPr>
          <w:p>
            <w:pPr>
              <w:pStyle w:val="TableContents"/>
              <w:bidi w:val="0"/>
              <w:spacing w:before="0" w:after="283"/>
              <w:jc w:val="left"/>
              <w:rPr>
                <w:sz w:val="4"/>
                <w:szCs w:val="4"/>
              </w:rPr>
            </w:pPr>
            <w:r>
              <w:rPr>
                <w:sz w:val="4"/>
                <w:szCs w:val="4"/>
              </w:rPr>
            </w:r>
          </w:p>
        </w:tc>
        <w:tc>
          <w:tcPr>
            <w:tcW w:w="60" w:type="dxa"/>
            <w:tcBorders/>
            <w:shd w:fill="F2F2F2" w:val="clear"/>
            <w:vAlign w:val="bottom"/>
          </w:tcPr>
          <w:p>
            <w:pPr>
              <w:pStyle w:val="TableContents"/>
              <w:bidi w:val="0"/>
              <w:spacing w:before="0" w:after="283"/>
              <w:jc w:val="left"/>
              <w:rPr/>
            </w:pPr>
            <w:r>
              <w:rPr/>
              <w:t> </w:t>
            </w:r>
          </w:p>
        </w:tc>
        <w:tc>
          <w:tcPr>
            <w:tcW w:w="260" w:type="dxa"/>
            <w:tcBorders/>
            <w:shd w:fill="F2F2F2" w:val="clear"/>
            <w:vAlign w:val="bottom"/>
          </w:tcPr>
          <w:p>
            <w:pPr>
              <w:pStyle w:val="TableContents"/>
              <w:bidi w:val="0"/>
              <w:spacing w:before="0" w:after="283"/>
              <w:jc w:val="left"/>
              <w:rPr/>
            </w:pPr>
            <w:r>
              <w:rPr/>
              <w:t> </w:t>
            </w:r>
          </w:p>
        </w:tc>
        <w:tc>
          <w:tcPr>
            <w:tcW w:w="1763" w:type="dxa"/>
            <w:tcBorders/>
            <w:shd w:fill="F2F2F2" w:val="clear"/>
            <w:vAlign w:val="bottom"/>
          </w:tcPr>
          <w:p>
            <w:pPr>
              <w:pStyle w:val="TableContents"/>
              <w:bidi w:val="0"/>
              <w:spacing w:before="0" w:after="283"/>
              <w:jc w:val="right"/>
              <w:rPr/>
            </w:pPr>
            <w:r>
              <w:rPr/>
              <w:t>-</w:t>
            </w:r>
          </w:p>
        </w:tc>
        <w:tc>
          <w:tcPr>
            <w:tcW w:w="364" w:type="dxa"/>
            <w:tcBorders/>
            <w:shd w:fill="F2F2F2"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b/>
                <w:sz w:val="20"/>
              </w:rPr>
            </w:pPr>
            <w:r>
              <w:rPr>
                <w:rFonts w:ascii="Times New Roman" w:hAnsi="Times New Roman"/>
                <w:b/>
                <w:sz w:val="20"/>
              </w:rPr>
              <w:t>All Other Fees</w:t>
            </w:r>
          </w:p>
        </w:tc>
        <w:tc>
          <w:tcPr>
            <w:tcW w:w="135"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76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763" w:type="dxa"/>
            <w:tcBorders/>
            <w:vAlign w:val="bottom"/>
          </w:tcPr>
          <w:p>
            <w:pPr>
              <w:pStyle w:val="TableContents"/>
              <w:bidi w:val="0"/>
              <w:spacing w:before="0" w:after="283"/>
              <w:jc w:val="right"/>
              <w:rPr/>
            </w:pPr>
            <w:r>
              <w:rPr/>
              <w:t>-</w:t>
            </w:r>
          </w:p>
        </w:tc>
        <w:tc>
          <w:tcPr>
            <w:tcW w:w="364" w:type="dxa"/>
            <w:tcBorders/>
            <w:vAlign w:val="bottom"/>
          </w:tcPr>
          <w:p>
            <w:pPr>
              <w:pStyle w:val="TableContents"/>
              <w:bidi w:val="0"/>
              <w:spacing w:before="0" w:after="283"/>
              <w:jc w:val="left"/>
              <w:rPr/>
            </w:pPr>
            <w:r>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7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763" w:type="dxa"/>
            <w:tcBorders/>
            <w:vAlign w:val="bottom"/>
          </w:tcPr>
          <w:p>
            <w:pPr>
              <w:pStyle w:val="TableContents"/>
              <w:pBdr>
                <w:top w:val="single" w:sz="2" w:space="1" w:color="000000"/>
              </w:pBdr>
              <w:bidi w:val="0"/>
              <w:spacing w:before="0" w:after="0"/>
              <w:jc w:val="left"/>
              <w:rPr/>
            </w:pPr>
            <w:r>
              <w:rPr/>
              <w:t> </w:t>
            </w:r>
          </w:p>
        </w:tc>
        <w:tc>
          <w:tcPr>
            <w:tcW w:w="364" w:type="dxa"/>
            <w:tcBorders/>
            <w:vAlign w:val="center"/>
          </w:tcPr>
          <w:p>
            <w:pPr>
              <w:pStyle w:val="TableContents"/>
              <w:bidi w:val="0"/>
              <w:spacing w:before="0" w:after="283"/>
              <w:jc w:val="left"/>
              <w:rPr/>
            </w:pPr>
            <w:r>
              <w:rPr/>
              <w:t> </w:t>
            </w:r>
          </w:p>
        </w:tc>
      </w:tr>
      <w:tr>
        <w:trPr/>
        <w:tc>
          <w:tcPr>
            <w:tcW w:w="2843" w:type="dxa"/>
            <w:tcBorders/>
            <w:shd w:fill="F2F2F2"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35" w:type="dxa"/>
            <w:tcBorders/>
            <w:shd w:fill="F2F2F2" w:val="clear"/>
            <w:vAlign w:val="bottom"/>
          </w:tcPr>
          <w:p>
            <w:pPr>
              <w:pStyle w:val="TableContents"/>
              <w:bidi w:val="0"/>
              <w:spacing w:before="0" w:after="283"/>
              <w:jc w:val="left"/>
              <w:rPr/>
            </w:pPr>
            <w:r>
              <w:rPr/>
              <w:t>  </w:t>
            </w:r>
          </w:p>
        </w:tc>
        <w:tc>
          <w:tcPr>
            <w:tcW w:w="30" w:type="dxa"/>
            <w:tcBorders/>
            <w:shd w:fill="F2F2F2" w:val="clear"/>
            <w:vAlign w:val="bottom"/>
          </w:tcPr>
          <w:p>
            <w:pPr>
              <w:pStyle w:val="TableContents"/>
              <w:bidi w:val="0"/>
              <w:spacing w:before="0" w:after="283"/>
              <w:jc w:val="left"/>
              <w:rPr>
                <w:sz w:val="4"/>
                <w:szCs w:val="4"/>
              </w:rPr>
            </w:pPr>
            <w:r>
              <w:rPr>
                <w:sz w:val="4"/>
                <w:szCs w:val="4"/>
              </w:rPr>
            </w:r>
          </w:p>
        </w:tc>
        <w:tc>
          <w:tcPr>
            <w:tcW w:w="30" w:type="dxa"/>
            <w:tcBorders/>
            <w:shd w:fill="F2F2F2" w:val="clear"/>
            <w:vAlign w:val="bottom"/>
          </w:tcPr>
          <w:p>
            <w:pPr>
              <w:pStyle w:val="TableContents"/>
              <w:bidi w:val="0"/>
              <w:spacing w:before="0" w:after="283"/>
              <w:jc w:val="left"/>
              <w:rPr>
                <w:sz w:val="4"/>
                <w:szCs w:val="4"/>
              </w:rPr>
            </w:pPr>
            <w:r>
              <w:rPr>
                <w:sz w:val="4"/>
                <w:szCs w:val="4"/>
              </w:rPr>
            </w:r>
          </w:p>
        </w:tc>
        <w:tc>
          <w:tcPr>
            <w:tcW w:w="60" w:type="dxa"/>
            <w:tcBorders/>
            <w:shd w:fill="F2F2F2" w:val="clear"/>
            <w:vAlign w:val="bottom"/>
          </w:tcPr>
          <w:p>
            <w:pPr>
              <w:pStyle w:val="TableContents"/>
              <w:bidi w:val="0"/>
              <w:spacing w:before="0" w:after="283"/>
              <w:jc w:val="left"/>
              <w:rPr>
                <w:sz w:val="4"/>
                <w:szCs w:val="4"/>
              </w:rPr>
            </w:pPr>
            <w:r>
              <w:rPr>
                <w:sz w:val="4"/>
                <w:szCs w:val="4"/>
              </w:rPr>
            </w:r>
          </w:p>
        </w:tc>
        <w:tc>
          <w:tcPr>
            <w:tcW w:w="77" w:type="dxa"/>
            <w:tcBorders/>
            <w:shd w:fill="F2F2F2" w:val="clear"/>
            <w:vAlign w:val="bottom"/>
          </w:tcPr>
          <w:p>
            <w:pPr>
              <w:pStyle w:val="TableContents"/>
              <w:bidi w:val="0"/>
              <w:spacing w:before="0" w:after="283"/>
              <w:jc w:val="left"/>
              <w:rPr/>
            </w:pPr>
            <w:r>
              <w:rPr/>
              <w:t> </w:t>
            </w:r>
          </w:p>
        </w:tc>
        <w:tc>
          <w:tcPr>
            <w:tcW w:w="260" w:type="dxa"/>
            <w:tcBorders/>
            <w:shd w:fill="F2F2F2" w:val="clear"/>
            <w:vAlign w:val="bottom"/>
          </w:tcPr>
          <w:p>
            <w:pPr>
              <w:pStyle w:val="TableContents"/>
              <w:bidi w:val="0"/>
              <w:spacing w:before="0" w:after="283"/>
              <w:jc w:val="left"/>
              <w:rPr/>
            </w:pPr>
            <w:r>
              <w:rPr/>
              <w:t> </w:t>
            </w:r>
            <w:r>
              <w:rPr/>
              <w:t>$</w:t>
            </w:r>
          </w:p>
        </w:tc>
        <w:tc>
          <w:tcPr>
            <w:tcW w:w="1763" w:type="dxa"/>
            <w:tcBorders/>
            <w:shd w:fill="F2F2F2" w:val="clear"/>
            <w:vAlign w:val="bottom"/>
          </w:tcPr>
          <w:p>
            <w:pPr>
              <w:pStyle w:val="TableContents"/>
              <w:bidi w:val="0"/>
              <w:spacing w:before="0" w:after="283"/>
              <w:jc w:val="right"/>
              <w:rPr/>
            </w:pPr>
            <w:r>
              <w:rPr/>
              <w:t>    </w:t>
            </w:r>
            <w:r>
              <w:rPr/>
              <w:t>451,899</w:t>
            </w:r>
          </w:p>
        </w:tc>
        <w:tc>
          <w:tcPr>
            <w:tcW w:w="60" w:type="dxa"/>
            <w:tcBorders/>
            <w:shd w:fill="F2F2F2" w:val="clear"/>
            <w:vAlign w:val="bottom"/>
          </w:tcPr>
          <w:p>
            <w:pPr>
              <w:pStyle w:val="TableContents"/>
              <w:bidi w:val="0"/>
              <w:spacing w:before="0" w:after="283"/>
              <w:jc w:val="left"/>
              <w:rPr/>
            </w:pPr>
            <w:r>
              <w:rPr/>
              <w:t> </w:t>
            </w:r>
          </w:p>
        </w:tc>
        <w:tc>
          <w:tcPr>
            <w:tcW w:w="135" w:type="dxa"/>
            <w:tcBorders/>
            <w:shd w:fill="F2F2F2" w:val="clear"/>
            <w:vAlign w:val="bottom"/>
          </w:tcPr>
          <w:p>
            <w:pPr>
              <w:pStyle w:val="TableContents"/>
              <w:bidi w:val="0"/>
              <w:spacing w:before="0" w:after="283"/>
              <w:jc w:val="left"/>
              <w:rPr/>
            </w:pPr>
            <w:r>
              <w:rPr/>
              <w:t>  </w:t>
            </w:r>
          </w:p>
        </w:tc>
        <w:tc>
          <w:tcPr>
            <w:tcW w:w="29" w:type="dxa"/>
            <w:tcBorders/>
            <w:shd w:fill="F2F2F2" w:val="clear"/>
            <w:vAlign w:val="bottom"/>
          </w:tcPr>
          <w:p>
            <w:pPr>
              <w:pStyle w:val="TableContents"/>
              <w:bidi w:val="0"/>
              <w:spacing w:before="0" w:after="283"/>
              <w:jc w:val="left"/>
              <w:rPr>
                <w:sz w:val="4"/>
                <w:szCs w:val="4"/>
              </w:rPr>
            </w:pPr>
            <w:r>
              <w:rPr>
                <w:sz w:val="4"/>
                <w:szCs w:val="4"/>
              </w:rPr>
            </w:r>
          </w:p>
        </w:tc>
        <w:tc>
          <w:tcPr>
            <w:tcW w:w="30" w:type="dxa"/>
            <w:tcBorders/>
            <w:shd w:fill="F2F2F2" w:val="clear"/>
            <w:vAlign w:val="bottom"/>
          </w:tcPr>
          <w:p>
            <w:pPr>
              <w:pStyle w:val="TableContents"/>
              <w:bidi w:val="0"/>
              <w:spacing w:before="0" w:after="283"/>
              <w:jc w:val="left"/>
              <w:rPr>
                <w:sz w:val="4"/>
                <w:szCs w:val="4"/>
              </w:rPr>
            </w:pPr>
            <w:r>
              <w:rPr>
                <w:sz w:val="4"/>
                <w:szCs w:val="4"/>
              </w:rPr>
            </w:r>
          </w:p>
        </w:tc>
        <w:tc>
          <w:tcPr>
            <w:tcW w:w="60" w:type="dxa"/>
            <w:tcBorders/>
            <w:shd w:fill="F2F2F2" w:val="clear"/>
            <w:vAlign w:val="bottom"/>
          </w:tcPr>
          <w:p>
            <w:pPr>
              <w:pStyle w:val="TableContents"/>
              <w:bidi w:val="0"/>
              <w:spacing w:before="0" w:after="283"/>
              <w:jc w:val="left"/>
              <w:rPr>
                <w:sz w:val="4"/>
                <w:szCs w:val="4"/>
              </w:rPr>
            </w:pPr>
            <w:r>
              <w:rPr>
                <w:sz w:val="4"/>
                <w:szCs w:val="4"/>
              </w:rPr>
            </w:r>
          </w:p>
        </w:tc>
        <w:tc>
          <w:tcPr>
            <w:tcW w:w="60" w:type="dxa"/>
            <w:tcBorders/>
            <w:shd w:fill="F2F2F2" w:val="clear"/>
            <w:vAlign w:val="bottom"/>
          </w:tcPr>
          <w:p>
            <w:pPr>
              <w:pStyle w:val="TableContents"/>
              <w:bidi w:val="0"/>
              <w:spacing w:before="0" w:after="283"/>
              <w:jc w:val="left"/>
              <w:rPr/>
            </w:pPr>
            <w:r>
              <w:rPr/>
              <w:t> </w:t>
            </w:r>
          </w:p>
        </w:tc>
        <w:tc>
          <w:tcPr>
            <w:tcW w:w="260" w:type="dxa"/>
            <w:tcBorders/>
            <w:shd w:fill="F2F2F2" w:val="clear"/>
            <w:vAlign w:val="bottom"/>
          </w:tcPr>
          <w:p>
            <w:pPr>
              <w:pStyle w:val="TableContents"/>
              <w:bidi w:val="0"/>
              <w:spacing w:before="0" w:after="283"/>
              <w:jc w:val="left"/>
              <w:rPr/>
            </w:pPr>
            <w:r>
              <w:rPr/>
              <w:t> </w:t>
            </w:r>
            <w:r>
              <w:rPr/>
              <w:t>$</w:t>
            </w:r>
          </w:p>
        </w:tc>
        <w:tc>
          <w:tcPr>
            <w:tcW w:w="1763" w:type="dxa"/>
            <w:tcBorders/>
            <w:shd w:fill="F2F2F2" w:val="clear"/>
            <w:vAlign w:val="bottom"/>
          </w:tcPr>
          <w:p>
            <w:pPr>
              <w:pStyle w:val="TableContents"/>
              <w:bidi w:val="0"/>
              <w:spacing w:before="0" w:after="283"/>
              <w:jc w:val="right"/>
              <w:rPr/>
            </w:pPr>
            <w:r>
              <w:rPr/>
              <w:t>    </w:t>
            </w:r>
            <w:r>
              <w:rPr/>
              <w:t>423,415</w:t>
            </w:r>
          </w:p>
        </w:tc>
        <w:tc>
          <w:tcPr>
            <w:tcW w:w="364" w:type="dxa"/>
            <w:tcBorders/>
            <w:shd w:fill="F2F2F2" w:val="clear"/>
            <w:vAlign w:val="bottom"/>
          </w:tcPr>
          <w:p>
            <w:pPr>
              <w:pStyle w:val="TableContents"/>
              <w:bidi w:val="0"/>
              <w:spacing w:before="0" w:after="283"/>
              <w:jc w:val="left"/>
              <w:rPr/>
            </w:pPr>
            <w:r>
              <w:rPr/>
              <w:t> </w:t>
            </w:r>
          </w:p>
        </w:tc>
      </w:tr>
      <w:tr>
        <w:trPr/>
        <w:tc>
          <w:tcPr>
            <w:tcW w:w="2843" w:type="dxa"/>
            <w:tcBorders/>
            <w:shd w:fill="F2F2F2" w:val="clear"/>
            <w:vAlign w:val="bottom"/>
          </w:tcPr>
          <w:p>
            <w:pPr>
              <w:pStyle w:val="TableContents"/>
              <w:bidi w:val="0"/>
              <w:spacing w:before="0" w:after="283"/>
              <w:jc w:val="left"/>
              <w:rPr>
                <w:sz w:val="4"/>
                <w:szCs w:val="4"/>
              </w:rPr>
            </w:pPr>
            <w:r>
              <w:rPr>
                <w:sz w:val="4"/>
                <w:szCs w:val="4"/>
              </w:rPr>
            </w:r>
          </w:p>
        </w:tc>
        <w:tc>
          <w:tcPr>
            <w:tcW w:w="135" w:type="dxa"/>
            <w:tcBorders/>
            <w:shd w:fill="F2F2F2" w:val="clear"/>
            <w:vAlign w:val="bottom"/>
          </w:tcPr>
          <w:p>
            <w:pPr>
              <w:pStyle w:val="TableContents"/>
              <w:bidi w:val="0"/>
              <w:spacing w:before="0" w:after="283"/>
              <w:jc w:val="left"/>
              <w:rPr/>
            </w:pPr>
            <w:r>
              <w:rPr/>
              <w:t>  </w:t>
            </w:r>
          </w:p>
        </w:tc>
        <w:tc>
          <w:tcPr>
            <w:tcW w:w="30" w:type="dxa"/>
            <w:tcBorders/>
            <w:shd w:fill="F2F2F2" w:val="clear"/>
            <w:vAlign w:val="bottom"/>
          </w:tcPr>
          <w:p>
            <w:pPr>
              <w:pStyle w:val="TableContents"/>
              <w:bidi w:val="0"/>
              <w:spacing w:before="0" w:after="283"/>
              <w:jc w:val="left"/>
              <w:rPr>
                <w:sz w:val="4"/>
                <w:szCs w:val="4"/>
              </w:rPr>
            </w:pPr>
            <w:r>
              <w:rPr>
                <w:sz w:val="4"/>
                <w:szCs w:val="4"/>
              </w:rPr>
            </w:r>
          </w:p>
        </w:tc>
        <w:tc>
          <w:tcPr>
            <w:tcW w:w="30" w:type="dxa"/>
            <w:tcBorders/>
            <w:shd w:fill="F2F2F2" w:val="clear"/>
            <w:vAlign w:val="bottom"/>
          </w:tcPr>
          <w:p>
            <w:pPr>
              <w:pStyle w:val="TableContents"/>
              <w:bidi w:val="0"/>
              <w:spacing w:before="0" w:after="283"/>
              <w:jc w:val="left"/>
              <w:rPr>
                <w:sz w:val="4"/>
                <w:szCs w:val="4"/>
              </w:rPr>
            </w:pPr>
            <w:r>
              <w:rPr>
                <w:sz w:val="4"/>
                <w:szCs w:val="4"/>
              </w:rPr>
            </w:r>
          </w:p>
        </w:tc>
        <w:tc>
          <w:tcPr>
            <w:tcW w:w="60" w:type="dxa"/>
            <w:tcBorders/>
            <w:shd w:fill="F2F2F2" w:val="clear"/>
            <w:vAlign w:val="bottom"/>
          </w:tcPr>
          <w:p>
            <w:pPr>
              <w:pStyle w:val="TableContents"/>
              <w:bidi w:val="0"/>
              <w:spacing w:before="0" w:after="283"/>
              <w:jc w:val="left"/>
              <w:rPr>
                <w:sz w:val="4"/>
                <w:szCs w:val="4"/>
              </w:rPr>
            </w:pPr>
            <w:r>
              <w:rPr>
                <w:sz w:val="4"/>
                <w:szCs w:val="4"/>
              </w:rPr>
            </w:r>
          </w:p>
        </w:tc>
        <w:tc>
          <w:tcPr>
            <w:tcW w:w="77" w:type="dxa"/>
            <w:tcBorders/>
            <w:shd w:fill="F2F2F2" w:val="clear"/>
            <w:vAlign w:val="bottom"/>
          </w:tcPr>
          <w:p>
            <w:pPr>
              <w:pStyle w:val="TableContents"/>
              <w:bidi w:val="0"/>
              <w:spacing w:before="0" w:after="283"/>
              <w:jc w:val="left"/>
              <w:rPr/>
            </w:pPr>
            <w:r>
              <w:rPr/>
              <w:t> </w:t>
            </w:r>
          </w:p>
        </w:tc>
        <w:tc>
          <w:tcPr>
            <w:tcW w:w="260" w:type="dxa"/>
            <w:tcBorders/>
            <w:shd w:fill="F2F2F2" w:val="clear"/>
            <w:vAlign w:val="bottom"/>
          </w:tcPr>
          <w:p>
            <w:pPr>
              <w:pStyle w:val="TableContents"/>
              <w:pBdr>
                <w:top w:val="double" w:sz="6" w:space="1" w:color="000000"/>
              </w:pBdr>
              <w:bidi w:val="0"/>
              <w:spacing w:before="0" w:after="0"/>
              <w:jc w:val="left"/>
              <w:rPr/>
            </w:pPr>
            <w:r>
              <w:rPr/>
              <w:t> </w:t>
            </w:r>
          </w:p>
        </w:tc>
        <w:tc>
          <w:tcPr>
            <w:tcW w:w="1763" w:type="dxa"/>
            <w:tcBorders/>
            <w:shd w:fill="F2F2F2" w:val="clear"/>
            <w:vAlign w:val="bottom"/>
          </w:tcPr>
          <w:p>
            <w:pPr>
              <w:pStyle w:val="TableContents"/>
              <w:pBdr>
                <w:top w:val="double" w:sz="6" w:space="1" w:color="000000"/>
              </w:pBdr>
              <w:bidi w:val="0"/>
              <w:spacing w:before="0" w:after="0"/>
              <w:jc w:val="left"/>
              <w:rPr/>
            </w:pPr>
            <w:r>
              <w:rPr/>
              <w:t> </w:t>
            </w:r>
          </w:p>
        </w:tc>
        <w:tc>
          <w:tcPr>
            <w:tcW w:w="60" w:type="dxa"/>
            <w:tcBorders/>
            <w:shd w:fill="F2F2F2" w:val="clear"/>
            <w:vAlign w:val="center"/>
          </w:tcPr>
          <w:p>
            <w:pPr>
              <w:pStyle w:val="TableContents"/>
              <w:bidi w:val="0"/>
              <w:spacing w:before="0" w:after="283"/>
              <w:jc w:val="left"/>
              <w:rPr/>
            </w:pPr>
            <w:r>
              <w:rPr/>
              <w:t> </w:t>
            </w:r>
          </w:p>
        </w:tc>
        <w:tc>
          <w:tcPr>
            <w:tcW w:w="135" w:type="dxa"/>
            <w:tcBorders/>
            <w:shd w:fill="F2F2F2" w:val="clear"/>
            <w:vAlign w:val="bottom"/>
          </w:tcPr>
          <w:p>
            <w:pPr>
              <w:pStyle w:val="TableContents"/>
              <w:bidi w:val="0"/>
              <w:spacing w:before="0" w:after="283"/>
              <w:jc w:val="left"/>
              <w:rPr/>
            </w:pPr>
            <w:r>
              <w:rPr/>
              <w:t>  </w:t>
            </w:r>
          </w:p>
        </w:tc>
        <w:tc>
          <w:tcPr>
            <w:tcW w:w="29" w:type="dxa"/>
            <w:tcBorders/>
            <w:shd w:fill="F2F2F2" w:val="clear"/>
            <w:vAlign w:val="bottom"/>
          </w:tcPr>
          <w:p>
            <w:pPr>
              <w:pStyle w:val="TableContents"/>
              <w:bidi w:val="0"/>
              <w:spacing w:before="0" w:after="283"/>
              <w:jc w:val="left"/>
              <w:rPr>
                <w:sz w:val="4"/>
                <w:szCs w:val="4"/>
              </w:rPr>
            </w:pPr>
            <w:r>
              <w:rPr>
                <w:sz w:val="4"/>
                <w:szCs w:val="4"/>
              </w:rPr>
            </w:r>
          </w:p>
        </w:tc>
        <w:tc>
          <w:tcPr>
            <w:tcW w:w="30" w:type="dxa"/>
            <w:tcBorders/>
            <w:shd w:fill="F2F2F2" w:val="clear"/>
            <w:vAlign w:val="bottom"/>
          </w:tcPr>
          <w:p>
            <w:pPr>
              <w:pStyle w:val="TableContents"/>
              <w:bidi w:val="0"/>
              <w:spacing w:before="0" w:after="283"/>
              <w:jc w:val="left"/>
              <w:rPr>
                <w:sz w:val="4"/>
                <w:szCs w:val="4"/>
              </w:rPr>
            </w:pPr>
            <w:r>
              <w:rPr>
                <w:sz w:val="4"/>
                <w:szCs w:val="4"/>
              </w:rPr>
            </w:r>
          </w:p>
        </w:tc>
        <w:tc>
          <w:tcPr>
            <w:tcW w:w="60" w:type="dxa"/>
            <w:tcBorders/>
            <w:shd w:fill="F2F2F2" w:val="clear"/>
            <w:vAlign w:val="bottom"/>
          </w:tcPr>
          <w:p>
            <w:pPr>
              <w:pStyle w:val="TableContents"/>
              <w:bidi w:val="0"/>
              <w:spacing w:before="0" w:after="283"/>
              <w:jc w:val="left"/>
              <w:rPr>
                <w:sz w:val="4"/>
                <w:szCs w:val="4"/>
              </w:rPr>
            </w:pPr>
            <w:r>
              <w:rPr>
                <w:sz w:val="4"/>
                <w:szCs w:val="4"/>
              </w:rPr>
            </w:r>
          </w:p>
        </w:tc>
        <w:tc>
          <w:tcPr>
            <w:tcW w:w="60" w:type="dxa"/>
            <w:tcBorders/>
            <w:shd w:fill="F2F2F2" w:val="clear"/>
            <w:vAlign w:val="bottom"/>
          </w:tcPr>
          <w:p>
            <w:pPr>
              <w:pStyle w:val="TableContents"/>
              <w:bidi w:val="0"/>
              <w:spacing w:before="0" w:after="283"/>
              <w:jc w:val="left"/>
              <w:rPr/>
            </w:pPr>
            <w:r>
              <w:rPr/>
              <w:t> </w:t>
            </w:r>
          </w:p>
        </w:tc>
        <w:tc>
          <w:tcPr>
            <w:tcW w:w="260" w:type="dxa"/>
            <w:tcBorders/>
            <w:shd w:fill="F2F2F2" w:val="clear"/>
            <w:vAlign w:val="bottom"/>
          </w:tcPr>
          <w:p>
            <w:pPr>
              <w:pStyle w:val="TableContents"/>
              <w:pBdr>
                <w:top w:val="double" w:sz="6" w:space="1" w:color="000000"/>
              </w:pBdr>
              <w:bidi w:val="0"/>
              <w:spacing w:before="0" w:after="0"/>
              <w:jc w:val="left"/>
              <w:rPr/>
            </w:pPr>
            <w:r>
              <w:rPr/>
              <w:t> </w:t>
            </w:r>
          </w:p>
        </w:tc>
        <w:tc>
          <w:tcPr>
            <w:tcW w:w="1763" w:type="dxa"/>
            <w:tcBorders/>
            <w:shd w:fill="F2F2F2" w:val="clear"/>
            <w:vAlign w:val="bottom"/>
          </w:tcPr>
          <w:p>
            <w:pPr>
              <w:pStyle w:val="TableContents"/>
              <w:pBdr>
                <w:top w:val="double" w:sz="6" w:space="1" w:color="000000"/>
              </w:pBdr>
              <w:bidi w:val="0"/>
              <w:spacing w:before="0" w:after="0"/>
              <w:jc w:val="left"/>
              <w:rPr/>
            </w:pPr>
            <w:r>
              <w:rPr/>
              <w:t> </w:t>
            </w:r>
          </w:p>
        </w:tc>
        <w:tc>
          <w:tcPr>
            <w:tcW w:w="364" w:type="dxa"/>
            <w:tcBorders/>
            <w:shd w:fill="F2F2F2"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6"/>
        <w:gridCol w:w="9494"/>
      </w:tblGrid>
      <w:tr>
        <w:trPr/>
        <w:tc>
          <w:tcPr>
            <w:tcW w:w="30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9494"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Audit Fees consist of professional services rendered by KPMG LLP for the audits of our annual financial statements and reviews of quarterly financial statements. </w:t>
            </w:r>
          </w:p>
        </w:tc>
      </w:tr>
    </w:tbl>
    <w:tbl>
      <w:tblPr>
        <w:tblW w:w="5000" w:type="pct"/>
        <w:jc w:val="left"/>
        <w:tblInd w:w="0" w:type="dxa"/>
        <w:tblLayout w:type="fixed"/>
        <w:tblCellMar>
          <w:top w:w="0" w:type="dxa"/>
          <w:left w:w="0" w:type="dxa"/>
          <w:bottom w:w="0" w:type="dxa"/>
          <w:right w:w="0" w:type="dxa"/>
        </w:tblCellMar>
      </w:tblPr>
      <w:tblGrid>
        <w:gridCol w:w="305"/>
        <w:gridCol w:w="408"/>
        <w:gridCol w:w="9492"/>
      </w:tblGrid>
      <w:tr>
        <w:trPr/>
        <w:tc>
          <w:tcPr>
            <w:tcW w:w="30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9492"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Includes $15,000 approved by Audit Committee in May 2023 for additional procedures associated with 2022. </w:t>
            </w:r>
          </w:p>
        </w:tc>
      </w:tr>
    </w:tbl>
    <w:p>
      <w:pPr>
        <w:pStyle w:val="TextBody"/>
        <w:bidi w:val="0"/>
        <w:spacing w:before="360" w:after="0"/>
        <w:jc w:val="left"/>
        <w:rPr>
          <w:rFonts w:ascii="Times New Roman" w:hAnsi="Times New Roman"/>
          <w:b/>
          <w:color w:val="305494"/>
          <w:sz w:val="20"/>
        </w:rPr>
      </w:pPr>
      <w:r>
        <w:rPr>
          <w:rFonts w:ascii="Times New Roman" w:hAnsi="Times New Roman"/>
          <w:b/>
          <w:color w:val="305494"/>
          <w:sz w:val="20"/>
        </w:rPr>
        <w:t xml:space="preserve">Pre-Approval Policies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is responsible for appointing, setting compensation for, and overseeing the work of our independent registered public accounting firm. Our audit committees charter establishes a policy that all audit and permitted non-audit and tax services to be provided by our independent registered public accounting firm must be pre-approved by our audit committee. Our audit committee has pre-approved all such audit and permissible non-audit and tax services in accordance with this policy for the years ended December 31, 2023 and 2022. As part of this review, our audit committee considers whether the provision of any such non-audit or tax services by KPMG LLP is compatible with maintaining the independence of our independent registered public accounting firm.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39</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audit committee may delegate authority to pre-approve services to one or more of its members, provided any decisions made by such member to grant pre-approvals must be presented to the full audit committee at its next scheduled meeting.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7"/>
        <w:gridCol w:w="203"/>
        <w:gridCol w:w="7349"/>
        <w:gridCol w:w="101"/>
        <w:gridCol w:w="715"/>
      </w:tblGrid>
      <w:tr>
        <w:trPr/>
        <w:tc>
          <w:tcPr>
            <w:tcW w:w="183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34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1837" w:type="dxa"/>
            <w:tcBorders/>
          </w:tcPr>
          <w:p>
            <w:pPr>
              <w:pStyle w:val="TableContents"/>
              <w:bidi w:val="0"/>
              <w:spacing w:before="0" w:after="283"/>
              <w:jc w:val="left"/>
              <w:rPr>
                <w:b/>
              </w:rPr>
            </w:pPr>
            <w:r>
              <w:rPr>
                <w:b/>
              </w:rPr>
              <w:t>Vote Required:</w:t>
            </w:r>
          </w:p>
        </w:tc>
        <w:tc>
          <w:tcPr>
            <w:tcW w:w="203" w:type="dxa"/>
            <w:tcBorders/>
            <w:vAlign w:val="bottom"/>
          </w:tcPr>
          <w:p>
            <w:pPr>
              <w:pStyle w:val="TableContents"/>
              <w:bidi w:val="0"/>
              <w:spacing w:before="0" w:after="283"/>
              <w:jc w:val="left"/>
              <w:rPr/>
            </w:pPr>
            <w:r>
              <w:rPr/>
              <w:t>  </w:t>
            </w:r>
          </w:p>
        </w:tc>
        <w:tc>
          <w:tcPr>
            <w:tcW w:w="8165" w:type="dxa"/>
            <w:gridSpan w:val="3"/>
            <w:tcBorders/>
            <w:vAlign w:val="bottom"/>
          </w:tcPr>
          <w:p>
            <w:pPr>
              <w:pStyle w:val="TableContents"/>
              <w:bidi w:val="0"/>
              <w:spacing w:before="0" w:after="283"/>
              <w:jc w:val="left"/>
              <w:rPr/>
            </w:pPr>
            <w:r>
              <w:rPr/>
              <w:t>Ratification of the appointment of KPMG LLP as our independent registered public accounting firm for 2024 requires the affirmative vote of a majority of the shares present or represented by proxy and entitled to vote at the Annual Meeting. Abstentions have the same impact as votes Against the proposal. Brokers have discretion to vote on this proposal.</w:t>
            </w:r>
          </w:p>
        </w:tc>
      </w:tr>
      <w:tr>
        <w:trPr>
          <w:trHeight w:val="150" w:hRule="atLeast"/>
        </w:trPr>
        <w:tc>
          <w:tcPr>
            <w:tcW w:w="1837"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c>
          <w:tcPr>
            <w:tcW w:w="816"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tcPr>
          <w:p>
            <w:pPr>
              <w:pStyle w:val="TableContents"/>
              <w:bidi w:val="0"/>
              <w:spacing w:before="0" w:after="283"/>
              <w:jc w:val="left"/>
              <w:rPr>
                <w:b/>
              </w:rPr>
            </w:pPr>
            <w:r>
              <w:rPr>
                <w:b/>
              </w:rPr>
              <w:t>Board Recommendation:</w:t>
            </w:r>
          </w:p>
        </w:tc>
        <w:tc>
          <w:tcPr>
            <w:tcW w:w="203" w:type="dxa"/>
            <w:tcBorders/>
            <w:vAlign w:val="bottom"/>
          </w:tcPr>
          <w:p>
            <w:pPr>
              <w:pStyle w:val="TableContents"/>
              <w:bidi w:val="0"/>
              <w:spacing w:before="0" w:after="283"/>
              <w:jc w:val="left"/>
              <w:rPr/>
            </w:pPr>
            <w:r>
              <w:rPr/>
              <w:t>  </w:t>
            </w:r>
          </w:p>
        </w:tc>
        <w:tc>
          <w:tcPr>
            <w:tcW w:w="7349" w:type="dxa"/>
            <w:tcBorders/>
            <w:vAlign w:val="bottom"/>
          </w:tcPr>
          <w:p>
            <w:pPr>
              <w:pStyle w:val="TableContents"/>
              <w:bidi w:val="0"/>
              <w:spacing w:before="0" w:after="283"/>
              <w:jc w:val="left"/>
              <w:rPr>
                <w:b/>
                <w:color w:val="305494"/>
              </w:rPr>
            </w:pPr>
            <w:r>
              <w:rPr>
                <w:b/>
                <w:color w:val="305494"/>
              </w:rPr>
              <w:t xml:space="preserve">OUR BOARD OF DIRECTORS AND THE AUDIT COMMITTEE OF OUR BOARD OF DIRECTORS EACH UNANIMOUSLY RECOMMENDS A VOTE FOR THE RATIFICATION OF THE APPOINTMENT OF KPMG LLP AS OUR INDEPENDENT REGISTERED PUBLIC ACCOUNTING FIRM FOR 2024. </w:t>
            </w:r>
          </w:p>
        </w:tc>
        <w:tc>
          <w:tcPr>
            <w:tcW w:w="101" w:type="dxa"/>
            <w:tcBorders/>
            <w:vAlign w:val="bottom"/>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drawing>
                <wp:inline distT="0" distB="0" distL="0" distR="0">
                  <wp:extent cx="27940" cy="3937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7940" cy="39370"/>
                          </a:xfrm>
                          <a:prstGeom prst="rect">
                            <a:avLst/>
                          </a:prstGeom>
                        </pic:spPr>
                      </pic:pic>
                    </a:graphicData>
                  </a:graphic>
                </wp:inline>
              </w:drawing>
            </w:r>
            <w:r>
              <w:rPr/>
              <w:t xml:space="preserve"> </w:t>
            </w:r>
          </w:p>
        </w:tc>
      </w:tr>
    </w:tbl>
    <w:p>
      <w:pPr>
        <w:pStyle w:val="TextBody"/>
        <w:bidi w:val="0"/>
        <w:spacing w:before="360" w:after="0"/>
        <w:jc w:val="left"/>
        <w:rPr>
          <w:rFonts w:ascii="Times New Roman" w:hAnsi="Times New Roman"/>
          <w:color w:val="305494"/>
          <w:sz w:val="28"/>
        </w:rPr>
      </w:pPr>
      <w:bookmarkStart w:id="42" w:name="toc674951_40"/>
      <w:bookmarkEnd w:id="42"/>
      <w:r>
        <w:rPr>
          <w:rFonts w:ascii="Times New Roman" w:hAnsi="Times New Roman"/>
          <w:color w:val="305494"/>
          <w:sz w:val="28"/>
        </w:rPr>
        <w:t xml:space="preserve">Report of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oversees our independent registered public accounting firm and assists our board of directors in fulfilling its oversight responsibilities on matters relating to the integrity of our financial statements, our compliance with legal and regulatory requirements and the independent registered public accounting firms qualifications and independence by meeting regularly with the independent registered public accounting firm and financial management personnel. Management is responsible for the preparation, presentation and integrity of our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fulfilling its oversight responsibilities, the audit committee: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204"/>
        <w:gridCol w:w="101"/>
        <w:gridCol w:w="9187"/>
      </w:tblGrid>
      <w:tr>
        <w:trPr/>
        <w:tc>
          <w:tcPr>
            <w:tcW w:w="71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and discussed our financial statements as of and for the year ended December 31, 2023 with management and KPMG LLP;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204"/>
        <w:gridCol w:w="101"/>
        <w:gridCol w:w="9187"/>
      </w:tblGrid>
      <w:tr>
        <w:trPr/>
        <w:tc>
          <w:tcPr>
            <w:tcW w:w="71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KPMG LLP the matters required to be discussed by the applicable requirements of the Public Company Accounting Oversight Board and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204"/>
        <w:gridCol w:w="101"/>
        <w:gridCol w:w="9187"/>
      </w:tblGrid>
      <w:tr>
        <w:trPr/>
        <w:tc>
          <w:tcPr>
            <w:tcW w:w="71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received the written disclosures and the letter from KPMG LLP required by the applicable requirements of the Public Company Accounting Oversight Board;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204"/>
        <w:gridCol w:w="102"/>
        <w:gridCol w:w="9186"/>
      </w:tblGrid>
      <w:tr>
        <w:trPr/>
        <w:tc>
          <w:tcPr>
            <w:tcW w:w="713"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independence of KPMG LLP with that firm.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audit committees review and discussions noted above, the audit committee recommended to our board of directors, and our board of directors approved, that the audited financial statements be included in the 2023 Annual Report on Form 10-K for filing with the SEC. The audit committee also appointed KPMG LLP as our independent registered public accounting firm for the fiscal year ending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Submitted by the audit committee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Jean Franchi, Chair </w:t>
      </w:r>
    </w:p>
    <w:p>
      <w:pPr>
        <w:pStyle w:val="TextBody"/>
        <w:bidi w:val="0"/>
        <w:spacing w:before="0" w:after="0"/>
        <w:jc w:val="left"/>
        <w:rPr>
          <w:rFonts w:ascii="Times New Roman" w:hAnsi="Times New Roman"/>
          <w:sz w:val="20"/>
        </w:rPr>
      </w:pPr>
      <w:r>
        <w:rPr>
          <w:rFonts w:ascii="Times New Roman" w:hAnsi="Times New Roman"/>
          <w:sz w:val="20"/>
        </w:rPr>
        <w:t xml:space="preserve">Lawrence T. Kennedy, Jr. </w:t>
      </w:r>
    </w:p>
    <w:p>
      <w:pPr>
        <w:pStyle w:val="TextBody"/>
        <w:bidi w:val="0"/>
        <w:spacing w:before="0" w:after="0"/>
        <w:jc w:val="left"/>
        <w:rPr>
          <w:rFonts w:ascii="Times New Roman" w:hAnsi="Times New Roman"/>
          <w:sz w:val="20"/>
        </w:rPr>
      </w:pPr>
      <w:r>
        <w:rPr>
          <w:rFonts w:ascii="Times New Roman" w:hAnsi="Times New Roman"/>
          <w:sz w:val="20"/>
        </w:rPr>
        <w:t xml:space="preserve">Hany Massarany </w:t>
      </w:r>
    </w:p>
    <w:p>
      <w:pPr>
        <w:pStyle w:val="TextBody"/>
        <w:bidi w:val="0"/>
        <w:spacing w:before="0" w:after="0"/>
        <w:jc w:val="left"/>
        <w:rPr>
          <w:rFonts w:ascii="Times New Roman" w:hAnsi="Times New Roman"/>
          <w:sz w:val="20"/>
        </w:rPr>
      </w:pPr>
      <w:r>
        <w:rPr>
          <w:rFonts w:ascii="Times New Roman" w:hAnsi="Times New Roman"/>
          <w:sz w:val="20"/>
        </w:rPr>
        <w:t xml:space="preserve">Matthew Strobeck, Ph.D.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40</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color w:val="305494"/>
          <w:sz w:val="32"/>
        </w:rPr>
      </w:pPr>
      <w:bookmarkStart w:id="43" w:name="toc674951_40a1"/>
      <w:bookmarkEnd w:id="43"/>
      <w:r>
        <w:rPr>
          <w:rFonts w:ascii="Times New Roman" w:hAnsi="Times New Roman"/>
          <w:b/>
          <w:color w:val="305494"/>
          <w:sz w:val="32"/>
        </w:rPr>
        <w:t xml:space="preserve">SERIES A PREFERRED STOCK CONVERSION AND ISSUANCE </w:t>
      </w:r>
    </w:p>
    <w:p>
      <w:pPr>
        <w:pStyle w:val="TextBody"/>
        <w:bidi w:val="0"/>
        <w:spacing w:before="240" w:after="0"/>
        <w:jc w:val="left"/>
        <w:rPr>
          <w:rFonts w:ascii="Times New Roman" w:hAnsi="Times New Roman"/>
          <w:color w:val="305494"/>
          <w:sz w:val="28"/>
        </w:rPr>
      </w:pPr>
      <w:bookmarkStart w:id="44" w:name="toc674951_41"/>
      <w:bookmarkEnd w:id="44"/>
      <w:r>
        <w:rPr>
          <w:rFonts w:ascii="Times New Roman" w:hAnsi="Times New Roman"/>
          <w:color w:val="305494"/>
          <w:sz w:val="28"/>
        </w:rPr>
        <w:t xml:space="preserve">Proposal Three: Approval of the conversion of the Series A Preferred Stock into shares of Common Stock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entered into definitive agreements (the Securities Purchase Agreements) for a private placement with new and existing investors (the Investors) to raise $35.0 million, pursuant to which we issued 760,857 shares of Series A Preferred Stock at a price of $46.00 per share of Series A Preferred Stock (the Private Placement). The Series A Preferred Stock is intended to have rights that are generally equivalent to shares of our common stock, provided that the Series A Preferred Stock does not have the right to vote on most matters (including the election of directors). Subject to the approval of Proposal Three, each share of Series A Preferred Stock will automatically convert into 40 shares of Common Stock, subject to certain beneficial ownership limitations set by each holder. This Proposal Three would provide the necessary approval to permit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our entry into the Securities Purchase Agreements on April 5, 2024, we entered into a Registration Rights Agreement (the RRA) with the Investors. Pursuant to the RRA, we intend to file a resale registration statement with the SEC. We will use our reasonable best efforts to cause this registration statement to be declared effective by the SEC as soon as practicable following our Annual Meeting. Following the effectiveness of the registration statement, the shares subject to the registration statement will no longer constitute restricted securities and may be sold freely in the public markets, subject to lapse on any related contractual restrictions related thereto of any Investor and, for shares of Common Stock issuable upon the conversion of Series A Preferred Stock, the approval of our stockholders of such conversion. The RRA also contains customary terms, including an obligation to indemnify the Investors and certain affiliates from certain liabilities relating to any misstatements or omissions in the resale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Shares Issuable Upon Conversion </w:t>
      </w:r>
    </w:p>
    <w:p>
      <w:pPr>
        <w:pStyle w:val="TextBody"/>
        <w:bidi w:val="0"/>
        <w:spacing w:before="120" w:after="0"/>
        <w:jc w:val="left"/>
        <w:rPr>
          <w:rFonts w:ascii="Times New Roman" w:hAnsi="Times New Roman"/>
          <w:sz w:val="20"/>
        </w:rPr>
      </w:pPr>
      <w:r>
        <w:rPr>
          <w:rFonts w:ascii="Times New Roman" w:hAnsi="Times New Roman"/>
          <w:sz w:val="20"/>
        </w:rPr>
        <w:t xml:space="preserve">30,434,280 shares of our common stock are issuable upon the conversion of the Series A Preferred Stock issued in the Private Placement. The sale into the public market of the underlying Common Stock could materially and adversely affect the market price of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Potential Effects of the Proposal </w:t>
      </w:r>
    </w:p>
    <w:p>
      <w:pPr>
        <w:pStyle w:val="TextBody"/>
        <w:bidi w:val="0"/>
        <w:spacing w:before="120" w:after="0"/>
        <w:jc w:val="left"/>
        <w:rPr>
          <w:rFonts w:ascii="Times New Roman" w:hAnsi="Times New Roman"/>
          <w:sz w:val="20"/>
        </w:rPr>
      </w:pPr>
      <w:r>
        <w:rPr>
          <w:rFonts w:ascii="Times New Roman" w:hAnsi="Times New Roman"/>
          <w:sz w:val="20"/>
        </w:rPr>
        <w:t xml:space="preserve">If our stockholders do not approve this Proposal Three, the limitation on converting the Series A Preferred Stock will remain in effect and neither we, nor the holders of such securities, shall be entitled to convert or exercise such securities into or for shares of common stock other than as allowable under the Certificate of Designation for the Series A Preferred Stock. Your approval of the Proposal Three will assist us in meeting our obligations under the Securities Purchase Agreements. </w:t>
      </w:r>
    </w:p>
    <w:p>
      <w:pPr>
        <w:pStyle w:val="TextBody"/>
        <w:bidi w:val="0"/>
        <w:spacing w:before="240" w:after="0"/>
        <w:jc w:val="left"/>
        <w:rPr>
          <w:rFonts w:ascii="Times New Roman" w:hAnsi="Times New Roman"/>
          <w:b/>
          <w:sz w:val="20"/>
        </w:rPr>
      </w:pPr>
      <w:r>
        <w:rPr>
          <w:rFonts w:ascii="Times New Roman" w:hAnsi="Times New Roman"/>
          <w:b/>
          <w:sz w:val="20"/>
        </w:rPr>
        <w:t xml:space="preserve">Description of Series A Preferred Stock </w:t>
      </w:r>
    </w:p>
    <w:p>
      <w:pPr>
        <w:pStyle w:val="TextBody"/>
        <w:bidi w:val="0"/>
        <w:spacing w:before="120" w:after="0"/>
        <w:jc w:val="left"/>
        <w:rPr>
          <w:rFonts w:ascii="Times New Roman" w:hAnsi="Times New Roman"/>
          <w:sz w:val="20"/>
        </w:rPr>
      </w:pPr>
      <w:r>
        <w:rPr>
          <w:rFonts w:ascii="Times New Roman" w:hAnsi="Times New Roman"/>
          <w:b/>
          <w:sz w:val="20"/>
        </w:rPr>
        <w:t>Conversion</w:t>
      </w:r>
      <w:r>
        <w:rPr>
          <w:rFonts w:ascii="Times New Roman" w:hAnsi="Times New Roman"/>
          <w:sz w:val="20"/>
        </w:rPr>
        <w:t xml:space="preserve">. Following stockholder approval of this Proposal Three, effective as of 5:00 p.m. (Eastern time) on the third business day after the date on which such stockholder approval is received, each share of Series A Preferred Stock will automatically convert into 40 shares of Common Stock, subject to certain beneficial ownership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(initially set by the holder to a number up to 19.9% and thereafter adjusted) of the total number of shares of Common Stock issued and outstanding immediately after giving effect to such conversion.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41</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Voting Rights.</w:t>
      </w:r>
      <w:r>
        <w:rPr>
          <w:rFonts w:ascii="Times New Roman" w:hAnsi="Times New Roman"/>
          <w:sz w:val="20"/>
        </w:rPr>
        <w:t xml:space="preserve"> Except as otherwise required by law (e.g. voting on a change to the authorized shares of Series A Non-Voting Preferred Stock or the rights of such shares as required by Delaware General Corporation Law) and the Certificate of Designation, the Series A Preferred Stock does not have voting rights. However, as long as any shares of Series A Preferred Stock are outstanding, we will not, without the affirmative vote of the holders of a majority of the then outstanding shares of the Series A Preferred Stock, (a) alter or change adversely the powers, preferences or rights given to the Series A Preferred Stock, or alter or amend the Certificate of Designation, amend or repeal any provision of, or add any provision to, the Certificate of Incorporation or our Bylaws, or file any articles of amendment, certificate of designations, preferences, limitations and relative rights of any series of our preferred stock, if such action would adversely alter or change the preferences, rights, privileges or powers of, or restrictions provided for the benefit of the Series A Preferred Stock, regardless of whether any of the foregoing actions shall be by means of amendment to the Certificate of Incorporation or by merger, consolidation, recapitalization, reclassification, conversion or otherwise, (b) issue further shares of Series A Preferred Stock or increase or decrease (other than by conversion) the number of authorized shares of Series A Preferred Stock, (c) prior to the stockholder approval of the Conversion Proposal or at any time while at least 30% of the originally issued Series A Preferred Stock remains issued and outstanding, consummate either (A) any Fundamental Transaction (as defined in the Certificate of Designation) or (B) any merger or consolidation of the Company or other business combination in which our stockholders immediately before such transaction do not hold at least a majority of our capital stock immediately after such transaction, or (d) enter into any agreement with respect to any of the foregoing. </w:t>
      </w:r>
    </w:p>
    <w:p>
      <w:pPr>
        <w:pStyle w:val="TextBody"/>
        <w:bidi w:val="0"/>
        <w:spacing w:before="240" w:after="0"/>
        <w:jc w:val="left"/>
        <w:rPr>
          <w:rFonts w:ascii="Times New Roman" w:hAnsi="Times New Roman"/>
          <w:sz w:val="20"/>
        </w:rPr>
      </w:pPr>
      <w:r>
        <w:rPr>
          <w:rFonts w:ascii="Times New Roman" w:hAnsi="Times New Roman"/>
          <w:b/>
          <w:sz w:val="20"/>
        </w:rPr>
        <w:t>Dividends.</w:t>
      </w:r>
      <w:r>
        <w:rPr>
          <w:rFonts w:ascii="Times New Roman" w:hAnsi="Times New Roman"/>
          <w:sz w:val="20"/>
        </w:rPr>
        <w:t xml:space="preserve"> Holders of Preferred Stock are entitled to receive dividends on shares of Series A Preferred Stock equal, on an as-if-converted-to-Common-Stock basis, and in the same form as dividends if such dividends were to be paid on shares of the Common Stock. </w:t>
      </w:r>
    </w:p>
    <w:p>
      <w:pPr>
        <w:pStyle w:val="TextBody"/>
        <w:bidi w:val="0"/>
        <w:spacing w:before="240" w:after="0"/>
        <w:jc w:val="left"/>
        <w:rPr>
          <w:rFonts w:ascii="Times New Roman" w:hAnsi="Times New Roman"/>
          <w:sz w:val="20"/>
        </w:rPr>
      </w:pPr>
      <w:r>
        <w:rPr>
          <w:rFonts w:ascii="Times New Roman" w:hAnsi="Times New Roman"/>
          <w:b/>
          <w:sz w:val="20"/>
        </w:rPr>
        <w:t>Liquidation and Dissolution.</w:t>
      </w:r>
      <w:r>
        <w:rPr>
          <w:rFonts w:ascii="Times New Roman" w:hAnsi="Times New Roman"/>
          <w:sz w:val="20"/>
        </w:rPr>
        <w:t xml:space="preserve"> The Series A Preferred Stock ranks on parity with Common Stock upon any liquidation, dissolution or winding-up of the Company. </w:t>
      </w:r>
    </w:p>
    <w:p>
      <w:pPr>
        <w:pStyle w:val="TextBody"/>
        <w:bidi w:val="0"/>
        <w:spacing w:before="240" w:after="0"/>
        <w:jc w:val="left"/>
        <w:rPr>
          <w:rFonts w:ascii="Times New Roman" w:hAnsi="Times New Roman"/>
          <w:sz w:val="20"/>
        </w:rPr>
      </w:pPr>
      <w:r>
        <w:rPr>
          <w:rFonts w:ascii="Times New Roman" w:hAnsi="Times New Roman"/>
          <w:b/>
          <w:sz w:val="20"/>
        </w:rPr>
        <w:t>Reasons for Stockholder Approval.</w:t>
      </w:r>
      <w:r>
        <w:rPr>
          <w:rFonts w:ascii="Times New Roman" w:hAnsi="Times New Roman"/>
          <w:sz w:val="20"/>
        </w:rPr>
        <w:t xml:space="preserve"> Our Common Stock is listed on The Nasdaq Global Market, and, as such, we are subject to the applicable rules of the Nasdaq Stock Market, including Nasdaq Listing Rule 5635(d), which requires stockholder approval in connection with a 20% issuance at a price that is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 </w:t>
      </w:r>
    </w:p>
    <w:p>
      <w:pPr>
        <w:pStyle w:val="TextBody"/>
        <w:bidi w:val="0"/>
        <w:spacing w:before="240" w:after="0"/>
        <w:jc w:val="left"/>
        <w:rPr>
          <w:rFonts w:ascii="Times New Roman" w:hAnsi="Times New Roman"/>
          <w:sz w:val="20"/>
        </w:rPr>
      </w:pPr>
      <w:r>
        <w:rPr>
          <w:rFonts w:ascii="Times New Roman" w:hAnsi="Times New Roman"/>
          <w:b/>
          <w:sz w:val="20"/>
        </w:rPr>
        <w:t>Beneficial Ownership Limitations.</w:t>
      </w:r>
      <w:r>
        <w:rPr>
          <w:rFonts w:ascii="Times New Roman" w:hAnsi="Times New Roman"/>
          <w:sz w:val="20"/>
        </w:rPr>
        <w:t xml:space="preserve"> We are not seeking stockholder approval of a potential change in control under Nasdaq Listing Rule 5635(b), which generally prohibits Nasdaq-listed companies from issuing common stock to a stockholder in a transaction that would cause the holder to beneficially own more than 20% of the then-outstanding common stock (subject to certain exceptions). Assuming that Proposal Three is approved, the Series A Preferred Stock will continue to have a beneficial ownership conversion limit that would prevent a stockholder from converting its shares if, as a result of such conversion, it would beneficially own a number of shares above its applicable conversion blocker (which cannot exceed 19.9% of the outstanding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7"/>
        <w:gridCol w:w="203"/>
        <w:gridCol w:w="7349"/>
        <w:gridCol w:w="101"/>
        <w:gridCol w:w="715"/>
      </w:tblGrid>
      <w:tr>
        <w:trPr/>
        <w:tc>
          <w:tcPr>
            <w:tcW w:w="183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34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1837" w:type="dxa"/>
            <w:tcBorders/>
          </w:tcPr>
          <w:p>
            <w:pPr>
              <w:pStyle w:val="TableContents"/>
              <w:bidi w:val="0"/>
              <w:spacing w:before="0" w:after="283"/>
              <w:jc w:val="left"/>
              <w:rPr>
                <w:b/>
              </w:rPr>
            </w:pPr>
            <w:r>
              <w:rPr>
                <w:b/>
              </w:rPr>
              <w:t>Vote Required:</w:t>
            </w:r>
          </w:p>
        </w:tc>
        <w:tc>
          <w:tcPr>
            <w:tcW w:w="203" w:type="dxa"/>
            <w:tcBorders/>
            <w:vAlign w:val="bottom"/>
          </w:tcPr>
          <w:p>
            <w:pPr>
              <w:pStyle w:val="TableContents"/>
              <w:bidi w:val="0"/>
              <w:spacing w:before="0" w:after="283"/>
              <w:jc w:val="left"/>
              <w:rPr/>
            </w:pPr>
            <w:r>
              <w:rPr/>
              <w:t>  </w:t>
            </w:r>
          </w:p>
        </w:tc>
        <w:tc>
          <w:tcPr>
            <w:tcW w:w="8165" w:type="dxa"/>
            <w:gridSpan w:val="3"/>
            <w:tcBorders/>
            <w:vAlign w:val="bottom"/>
          </w:tcPr>
          <w:p>
            <w:pPr>
              <w:pStyle w:val="TableContents"/>
              <w:bidi w:val="0"/>
              <w:spacing w:before="0" w:after="283"/>
              <w:jc w:val="left"/>
              <w:rPr/>
            </w:pPr>
            <w:r>
              <w:rPr/>
              <w:t>Approval of the conversion of the Series A Preferred Stock into shares of Common Stock requires the affirmative vote of a majority of the shares present or represented by proxy and entitled to vote at the Annual Meeting. Abstentions have the same impact as votes Against the proposal. Brokers have discretion to vote on this proposal.</w:t>
            </w:r>
          </w:p>
        </w:tc>
      </w:tr>
      <w:tr>
        <w:trPr>
          <w:trHeight w:val="150" w:hRule="atLeast"/>
        </w:trPr>
        <w:tc>
          <w:tcPr>
            <w:tcW w:w="1837"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c>
          <w:tcPr>
            <w:tcW w:w="816"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tcPr>
          <w:p>
            <w:pPr>
              <w:pStyle w:val="TableContents"/>
              <w:bidi w:val="0"/>
              <w:spacing w:before="0" w:after="283"/>
              <w:jc w:val="left"/>
              <w:rPr>
                <w:b/>
              </w:rPr>
            </w:pPr>
            <w:r>
              <w:rPr>
                <w:b/>
              </w:rPr>
              <w:t>Board Recommendation:</w:t>
            </w:r>
          </w:p>
        </w:tc>
        <w:tc>
          <w:tcPr>
            <w:tcW w:w="203" w:type="dxa"/>
            <w:tcBorders/>
            <w:vAlign w:val="bottom"/>
          </w:tcPr>
          <w:p>
            <w:pPr>
              <w:pStyle w:val="TableContents"/>
              <w:bidi w:val="0"/>
              <w:spacing w:before="0" w:after="283"/>
              <w:jc w:val="left"/>
              <w:rPr/>
            </w:pPr>
            <w:r>
              <w:rPr/>
              <w:t>  </w:t>
            </w:r>
          </w:p>
        </w:tc>
        <w:tc>
          <w:tcPr>
            <w:tcW w:w="7349" w:type="dxa"/>
            <w:tcBorders/>
            <w:vAlign w:val="bottom"/>
          </w:tcPr>
          <w:p>
            <w:pPr>
              <w:pStyle w:val="TableContents"/>
              <w:bidi w:val="0"/>
              <w:spacing w:before="0" w:after="283"/>
              <w:jc w:val="left"/>
              <w:rPr>
                <w:b/>
                <w:color w:val="305494"/>
              </w:rPr>
            </w:pPr>
            <w:r>
              <w:rPr>
                <w:b/>
                <w:color w:val="305494"/>
              </w:rPr>
              <w:t xml:space="preserve">OUR BOARD OF DIRECTORS UNANIMOUSLY RECOMMENDS A VOTE FOR THE APPROVAL OF THE CONVERSION OF THE SERIES A PREFERRED STOCK INTO SHARES OF COMMON STOCK </w:t>
            </w:r>
          </w:p>
        </w:tc>
        <w:tc>
          <w:tcPr>
            <w:tcW w:w="101" w:type="dxa"/>
            <w:tcBorders/>
            <w:vAlign w:val="bottom"/>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drawing>
                <wp:inline distT="0" distB="0" distL="0" distR="0">
                  <wp:extent cx="27940" cy="3937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7940" cy="3937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42</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color w:val="305494"/>
          <w:sz w:val="28"/>
        </w:rPr>
      </w:pPr>
      <w:bookmarkStart w:id="45" w:name="toc674951_42"/>
      <w:bookmarkEnd w:id="45"/>
      <w:r>
        <w:rPr>
          <w:rFonts w:ascii="Times New Roman" w:hAnsi="Times New Roman"/>
          <w:color w:val="305494"/>
          <w:sz w:val="28"/>
        </w:rPr>
        <w:t xml:space="preserve">Proposal Four: Approval of the issuance of shares of Series A Preferred Stock to certain directors and officers and any shares of the Companys Common Stock issuable upon the conversion thereof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As mentioned above, on April 5, 2024, we entered into Securities Purchase Agreements with new and existing investors. These investors included certain of our directors and funds affiliated with these directors and officer. The directors and officers were issued 126,788 shares of Series A Preferred Stock at a price of $46.00 per share of Series A Preferred Stock. </w:t>
      </w:r>
    </w:p>
    <w:p>
      <w:pPr>
        <w:pStyle w:val="TextBody"/>
        <w:bidi w:val="0"/>
        <w:spacing w:before="240" w:after="0"/>
        <w:jc w:val="left"/>
        <w:rPr>
          <w:rFonts w:ascii="Times New Roman" w:hAnsi="Times New Roman"/>
          <w:sz w:val="20"/>
        </w:rPr>
      </w:pPr>
      <w:r>
        <w:rPr>
          <w:rFonts w:ascii="Times New Roman" w:hAnsi="Times New Roman"/>
          <w:b/>
          <w:sz w:val="20"/>
        </w:rPr>
        <w:t>Reasons for Stockholder Approval.</w:t>
      </w:r>
      <w:r>
        <w:rPr>
          <w:rFonts w:ascii="Times New Roman" w:hAnsi="Times New Roman"/>
          <w:sz w:val="20"/>
        </w:rPr>
        <w:t xml:space="preserve"> Our Common Stock is listed on The Nasdaq Global Market, and, as such, we are subject to the applicable rules of the Nasdaq Stock Market, including Nasdaq Listing Rule 5635(c), which requires stockholder approval in connection with certain non-public offerings involving the sale, issuance or potential issuance by a listed company of equity compensation. For this purpose, equity compensation includes Common Stock (and/or securities convertible into or exercisable for Common Stock) issued to our officers, directors, employees or consultants at a discount to the market value of the Common Stock, and market value is the closing bid price immediately preceding the time that the listed company enters into a binding agreement with such officer, director, employee or consultant to issue the equity compensation. The issuance of our Common Stock underlying the Series A Preferred Stock may result in shares of our Common Stock being issuable to Scott Hutton, Robin Harper Cowie, Kieran OKane, Gary Pestano and Chris Vazquez, executive officers of the Company, and Lawrence Kennedy, Matt Strobeck, John Patience and Jack Schuler, members of our Board of Directors, and certain of their affiliates and investment vehicles, upon conversion of their Series A Preferred Stock, at a price which may be deemed to be below the fair market value of our common stock at the time we sold our Series A Preferred Stock to these holders (as described above). Thus, the issuance of such shares of common stock may be considered equity compensation under Nasdaq Listing Rule 5635(c). By approving this Proposal 4, you are approving the proposal for purposes of the requirements under Nasdaq Listing Rule 5635(c), which may result in Messrs. Hutton, OKane, Pestano, Vazquez, Kennedy, Strobeck, Patience and Schuler and Ms. Harper Cowie, or one of their affiliates, acquiring shares of our common stock at a price of less than fair market value. In order for their shares of common stock to be fully issued as contemplated by the Securities Purchase Agreements, stockholder approval is required because, for purposes of the Nasdaq Listing Rule 5635(c), the issuance of the Series A Preferred Stock could result in shares of our Common Stock being issuable to Messrs. Hutton, OKane, Pestano, Vazquez, Kennedy, Strobeck, Patience and Schuler and Ms. Harper Cowie, and certain of their affiliates, upon conversion of their Series A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closing price of our Common Stock immediately preceding the date of the Securities Purchase Agreements was $1.51 per share.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7"/>
        <w:gridCol w:w="203"/>
        <w:gridCol w:w="7349"/>
        <w:gridCol w:w="101"/>
        <w:gridCol w:w="715"/>
      </w:tblGrid>
      <w:tr>
        <w:trPr/>
        <w:tc>
          <w:tcPr>
            <w:tcW w:w="183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34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1837" w:type="dxa"/>
            <w:tcBorders/>
          </w:tcPr>
          <w:p>
            <w:pPr>
              <w:pStyle w:val="TableContents"/>
              <w:bidi w:val="0"/>
              <w:spacing w:before="0" w:after="283"/>
              <w:jc w:val="left"/>
              <w:rPr>
                <w:b/>
              </w:rPr>
            </w:pPr>
            <w:r>
              <w:rPr>
                <w:b/>
              </w:rPr>
              <w:t>Vote Required:</w:t>
            </w:r>
          </w:p>
        </w:tc>
        <w:tc>
          <w:tcPr>
            <w:tcW w:w="203" w:type="dxa"/>
            <w:tcBorders/>
            <w:vAlign w:val="bottom"/>
          </w:tcPr>
          <w:p>
            <w:pPr>
              <w:pStyle w:val="TableContents"/>
              <w:bidi w:val="0"/>
              <w:spacing w:before="0" w:after="283"/>
              <w:jc w:val="left"/>
              <w:rPr/>
            </w:pPr>
            <w:r>
              <w:rPr/>
              <w:t>  </w:t>
            </w:r>
          </w:p>
        </w:tc>
        <w:tc>
          <w:tcPr>
            <w:tcW w:w="8165" w:type="dxa"/>
            <w:gridSpan w:val="3"/>
            <w:tcBorders/>
            <w:vAlign w:val="bottom"/>
          </w:tcPr>
          <w:p>
            <w:pPr>
              <w:pStyle w:val="TableContents"/>
              <w:bidi w:val="0"/>
              <w:spacing w:before="0" w:after="283"/>
              <w:jc w:val="left"/>
              <w:rPr/>
            </w:pPr>
            <w:r>
              <w:rPr/>
              <w:t>Approval of the issuance of Series A Preferred Stock to certain directors and officers and any shares of the Companys Common Stock issuable upon the conversion thereof requires the affirmative vote of a majority of the shares present or represented by proxy and entitled to vote at the Annual Meeting. Abstentions have the same impact as votes Against the proposal. Brokers have discretion to vote on this proposal.</w:t>
            </w:r>
          </w:p>
        </w:tc>
      </w:tr>
      <w:tr>
        <w:trPr>
          <w:trHeight w:val="150" w:hRule="atLeast"/>
        </w:trPr>
        <w:tc>
          <w:tcPr>
            <w:tcW w:w="1837"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c>
          <w:tcPr>
            <w:tcW w:w="816"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tcPr>
          <w:p>
            <w:pPr>
              <w:pStyle w:val="TableContents"/>
              <w:bidi w:val="0"/>
              <w:spacing w:before="0" w:after="283"/>
              <w:jc w:val="left"/>
              <w:rPr>
                <w:b/>
              </w:rPr>
            </w:pPr>
            <w:r>
              <w:rPr>
                <w:b/>
              </w:rPr>
              <w:t>Board Recommendation:</w:t>
            </w:r>
          </w:p>
        </w:tc>
        <w:tc>
          <w:tcPr>
            <w:tcW w:w="203" w:type="dxa"/>
            <w:tcBorders/>
            <w:vAlign w:val="bottom"/>
          </w:tcPr>
          <w:p>
            <w:pPr>
              <w:pStyle w:val="TableContents"/>
              <w:bidi w:val="0"/>
              <w:spacing w:before="0" w:after="283"/>
              <w:jc w:val="left"/>
              <w:rPr/>
            </w:pPr>
            <w:r>
              <w:rPr/>
              <w:t>  </w:t>
            </w:r>
          </w:p>
        </w:tc>
        <w:tc>
          <w:tcPr>
            <w:tcW w:w="7349" w:type="dxa"/>
            <w:tcBorders/>
            <w:vAlign w:val="bottom"/>
          </w:tcPr>
          <w:p>
            <w:pPr>
              <w:pStyle w:val="TableContents"/>
              <w:bidi w:val="0"/>
              <w:spacing w:before="0" w:after="283"/>
              <w:jc w:val="left"/>
              <w:rPr>
                <w:b/>
                <w:color w:val="305494"/>
              </w:rPr>
            </w:pPr>
            <w:r>
              <w:rPr>
                <w:b/>
                <w:color w:val="305494"/>
              </w:rPr>
              <w:t xml:space="preserve">OUR BOARD OF DIRECTORS UNANIMOUSLY RECOMMENDS A VOTE FOR THE APPROVAL OF THE ISSUANCE OF SHARES OF SERIES A PREFERRED STOCK TO CERTAIN DIRECTORS AND OFFICERS AND ANY SHARES OF THE COMPANYS COMMON STOCK ISSUABLE UPON THE CONVERSION THEREOF. </w:t>
            </w:r>
          </w:p>
        </w:tc>
        <w:tc>
          <w:tcPr>
            <w:tcW w:w="101" w:type="dxa"/>
            <w:tcBorders/>
            <w:vAlign w:val="bottom"/>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drawing>
                <wp:inline distT="0" distB="0" distL="0" distR="0">
                  <wp:extent cx="27940" cy="3937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7940" cy="3937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43</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color w:val="305494"/>
          <w:sz w:val="32"/>
        </w:rPr>
      </w:pPr>
      <w:bookmarkStart w:id="46" w:name="toc674951_43"/>
      <w:bookmarkEnd w:id="46"/>
      <w:r>
        <w:rPr>
          <w:rFonts w:ascii="Times New Roman" w:hAnsi="Times New Roman"/>
          <w:b/>
          <w:color w:val="305494"/>
          <w:sz w:val="32"/>
        </w:rPr>
        <w:t xml:space="preserve">ADDITIONAL INFORMATION </w:t>
      </w:r>
    </w:p>
    <w:p>
      <w:pPr>
        <w:pStyle w:val="TextBody"/>
        <w:bidi w:val="0"/>
        <w:spacing w:before="240" w:after="0"/>
        <w:jc w:val="left"/>
        <w:rPr>
          <w:rFonts w:ascii="Times New Roman" w:hAnsi="Times New Roman"/>
          <w:color w:val="305494"/>
          <w:sz w:val="28"/>
        </w:rPr>
      </w:pPr>
      <w:bookmarkStart w:id="47" w:name="toc674951_44"/>
      <w:bookmarkEnd w:id="47"/>
      <w:r>
        <w:rPr>
          <w:rFonts w:ascii="Times New Roman" w:hAnsi="Times New Roman"/>
          <w:color w:val="305494"/>
          <w:sz w:val="28"/>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not aware of any other matters that will be presented for consideration at the Annual Meeting. However, if any other matters are properly brought before the Annual Meeting, the persons named in the accompanying proxy intend to vote on those matters in accordance with their best judgment. </w:t>
      </w:r>
    </w:p>
    <w:p>
      <w:pPr>
        <w:pStyle w:val="TextBody"/>
        <w:bidi w:val="0"/>
        <w:spacing w:before="240" w:after="0"/>
        <w:jc w:val="left"/>
        <w:rPr>
          <w:rFonts w:ascii="Times New Roman" w:hAnsi="Times New Roman"/>
          <w:color w:val="305494"/>
          <w:sz w:val="28"/>
        </w:rPr>
      </w:pPr>
      <w:bookmarkStart w:id="48" w:name="toc674951_45"/>
      <w:bookmarkEnd w:id="48"/>
      <w:r>
        <w:rPr>
          <w:rFonts w:ascii="Times New Roman" w:hAnsi="Times New Roman"/>
          <w:color w:val="305494"/>
          <w:sz w:val="28"/>
        </w:rPr>
        <w:t xml:space="preserve">Stockholder Proposals and Nominations for Next Years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order to be considered for inclusion in the proxy materials for our 2025 annual meeting of stockholders, proposals submitted by stockholders pursuant to Rule 14a-8 under the Exchange Act must be received by our Corporate Secretary at Biodesix, Inc., 919 West Dillon Rd., Louisville, CO 80027 on or before December 14, 2024, and also must otherwise comply with the procedures and requirements set forth in Rule 14a-8. </w:t>
      </w:r>
    </w:p>
    <w:p>
      <w:pPr>
        <w:pStyle w:val="TextBody"/>
        <w:bidi w:val="0"/>
        <w:spacing w:before="240" w:after="0"/>
        <w:jc w:val="left"/>
        <w:rPr>
          <w:rFonts w:ascii="Times New Roman" w:hAnsi="Times New Roman"/>
          <w:sz w:val="20"/>
        </w:rPr>
      </w:pPr>
      <w:r>
        <w:rPr>
          <w:rFonts w:ascii="Times New Roman" w:hAnsi="Times New Roman"/>
          <w:sz w:val="20"/>
        </w:rPr>
        <w:t xml:space="preserve">Alternatively, stockholders intending to present a proposal (outside of the process established in Rule 14a-8) or nominate a director for election at our 2025 annual meeting of stockholders without having the proposal or nomination included in the proxy materials for the meeting must comply with the requirements set forth in our bylaws. Our bylaws require, among other things, that our Corporate Secretary receive the proposal or nomination no earlier than the close of business on the 120th day, and no later than the close of business on the 90th day, prior to the first anniversary of the preceding years annual meeting of stockholders. Accordingly, for our 2025 annual meeting of stockholders, our Corporate Secretary must receive the proposal or nomination no earlier than January 21, 2025 and no later than the close of business on February 20, 2025. The proposal or nomination must contain the information required by our bylaws and otherwise comply with the requirements set forth in our bylaws.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foregoing requirements under our amended and restated bylaws, to comply with the universal proxy rules, stockholders who intend to solicit proxies in support of director nominees other than managements nominees must provide notice that sets forth the information required by Rule 14a-19 under the Exchange Act no later than March 24, 2025. </w:t>
      </w:r>
    </w:p>
    <w:p>
      <w:pPr>
        <w:pStyle w:val="TextBody"/>
        <w:bidi w:val="0"/>
        <w:spacing w:before="240" w:after="0"/>
        <w:jc w:val="left"/>
        <w:rPr>
          <w:rFonts w:ascii="Times New Roman" w:hAnsi="Times New Roman"/>
          <w:color w:val="305494"/>
          <w:sz w:val="28"/>
        </w:rPr>
      </w:pPr>
      <w:bookmarkStart w:id="49" w:name="toc674951_46"/>
      <w:bookmarkEnd w:id="49"/>
      <w:r>
        <w:rPr>
          <w:rFonts w:ascii="Times New Roman" w:hAnsi="Times New Roman"/>
          <w:color w:val="305494"/>
          <w:sz w:val="28"/>
        </w:rPr>
        <w:t xml:space="preserve">Availability of Annual Report on Form 10-K </w:t>
      </w:r>
    </w:p>
    <w:p>
      <w:pPr>
        <w:pStyle w:val="TextBody"/>
        <w:bidi w:val="0"/>
        <w:spacing w:before="240" w:after="0"/>
        <w:jc w:val="left"/>
        <w:rPr>
          <w:rFonts w:ascii="Times New Roman" w:hAnsi="Times New Roman"/>
          <w:sz w:val="20"/>
        </w:rPr>
      </w:pPr>
      <w:r>
        <w:rPr>
          <w:rFonts w:ascii="Times New Roman" w:hAnsi="Times New Roman"/>
          <w:sz w:val="20"/>
        </w:rPr>
        <w:t xml:space="preserve">A copy the 2023 Annual Report on Form 10-K as filed with the SEC is available free of charge on our website at www.biodesix.com or on the SECs website at www.sec.gov. Stockholders may also obtain a copy of our 2023 Annual Report on Form 10-K, including financial statements but excluding exhibits, without charge by sending a written request to: Biodesix, Inc., Attention: Corporate Secretary, 919 West Dillon Rd., Louisville, CO 80027.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rFonts w:ascii="arial" w:hAnsi="arial"/>
                <w:b/>
                <w:color w:val="305494"/>
                <w:sz w:val="16"/>
              </w:rPr>
            </w:pPr>
            <w:r>
              <w:rPr>
                <w:rFonts w:ascii="arial" w:hAnsi="arial"/>
                <w:b/>
                <w:color w:val="305494"/>
                <w:sz w:val="16"/>
              </w:rPr>
              <w:t>2024 Proxy Statement</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rFonts w:ascii="arial" w:hAnsi="arial"/>
                <w:b/>
                <w:color w:val="305494"/>
                <w:sz w:val="16"/>
              </w:rPr>
            </w:pPr>
            <w:r>
              <w:rPr>
                <w:rFonts w:ascii="arial" w:hAnsi="arial"/>
                <w:b/>
                <w:color w:val="305494"/>
                <w:sz w:val="16"/>
              </w:rPr>
              <w:t>44</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101060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biodesix P.O. BOX 8016, CARY, NC 27512-9903 Your vote matters! Have your ballot ready and please use one of the methods below for easy voting: Your control number Have the 12 digit control number located in the box above available when you access the website and follow the instructions. Scan QR for digital voting Biodesix, Inc. Annual Meeting of Stockholders For Stockholders of record as of March 25, 2024 Tuesday, May 21, 2024 1:00 PM, Mountain Time Annual Meeting to be held live via the Internet. Please visit www.proxydocs.com/BDSX for more details. YOUR VOTE IS IMPORTANT! PLEASE VOTE BY: 1:00 PM, Mountain Time, May 21, 2024. Internet: www.proxypush.com/BDSX  Cast your vote online  Have your Proxy Card ready  Follow the simple instructions to record your vote Phone: 1-866-291-6774  Use any touch-tone telephone  Have your Proxy Card ready  Follow the simple recorded instructions Mail:  Mark, sign and date your Proxy Card  Fold and return your Proxy Card in the postage-paid envelope provided Virtual: You must register to attend the meeting online and/or participate at www.proxydocs.com/BDSX This proxy is being solicited on behalf of the Board of Directors The undersigned stockholder of Biodesix, Inc. hereby appoints Robin Harper Cowie and Chris Vazquez, and each or either of them, as the true and lawful attorneys of the undersigned, with full power of substitution and revocation, and authorizes them, and each of them, to vote all the shares of capital stock of Biodesix,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2024 BetaNXT, Inc. or its affiliates. All Rights Reserved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101060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biodesix Biodesix, Inc. Annual Meeting of Stockholders Please make your marks like this: THE BOARD OF DIRECTORS RECOMMENDS A VOTE: FOR ALL OF THE LISTED NOMINEES AND ON PROPOSALS 2, 3 &amp; 4 PROPOSAL YOUR VOTE 1. To elect the three Class I directors named in this proxy statement to hold office until the 2027 annual meeting of stockholders; FOR WITHHOLD 1.01 Jon Faiz Kayyem, Ph.D. 1.02 Scott Hutton 1.03 John Patience 2. To ratify the appointment of KPMG LLP as our independent registered public accounting firm for the year ending December 31, 2024; 3. To approve, for purposes of complying with Nasdaq Listing Rule 5635(d), the conversion of the Companys Series A Non-Voting Convertible Preferred Stock, par value $0.001 per share (Series A Preferred Stock) into shares of the Companys common stock, par value $0.001 per share (Common Stock); 4. To approve, for purposes of complying with Nasdaq Listing Rule 5635(c), the issuance of the Companys Series A Preferred Stock to certain of the Companys directors and officers and any shares of the Companys Common Stock issuable upon the conversion thereof; and 5. To conduct any other business properly brought before the meeting, or any adjournment or postponement thereof. BOARD OF DIRECTORS RECOMMENDS FOR FOR FOR FOR FOR FOR You must register to attend the meeting online and/or participate at www.proxydocs.com/BDSX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6.jpeg"/><Relationship Id="rId10" Type="http://schemas.openxmlformats.org/officeDocument/2006/relationships/image" Target="media/image6.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25369</Words>
  <Characters>131922</Characters>
  <CharactersWithSpaces>158403</CharactersWithSpaces>
  <Paragraphs>3375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